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8" w:lineRule="auto"/>
        <w:rPr>
          <w:color w:val="000000"/>
        </w:rPr>
      </w:pPr>
      <w:r w:rsidDel="00000000" w:rsidR="00000000" w:rsidRPr="00000000">
        <w:rPr>
          <w:rtl w:val="0"/>
        </w:rPr>
      </w:r>
    </w:p>
    <w:p w:rsidR="00000000" w:rsidDel="00000000" w:rsidP="00000000" w:rsidRDefault="00000000" w:rsidRPr="00000000" w14:paraId="00000002">
      <w:pPr>
        <w:pStyle w:val="Heading1"/>
        <w:numPr>
          <w:ilvl w:val="0"/>
          <w:numId w:val="2"/>
        </w:numPr>
        <w:tabs>
          <w:tab w:val="left" w:leader="none" w:pos="622"/>
        </w:tabs>
        <w:ind w:left="622" w:hanging="358"/>
        <w:jc w:val="left"/>
        <w:rPr/>
      </w:pPr>
      <w:r w:rsidDel="00000000" w:rsidR="00000000" w:rsidRPr="00000000">
        <w:rPr>
          <w:rtl w:val="0"/>
        </w:rPr>
        <w:t xml:space="preserve">ASPECTOS GENERALES</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9" w:lineRule="auto"/>
        <w:rPr>
          <w:b w:val="1"/>
          <w:color w:val="000000"/>
        </w:rPr>
      </w:pPr>
      <w:r w:rsidDel="00000000" w:rsidR="00000000" w:rsidRPr="00000000">
        <w:rPr>
          <w:rtl w:val="0"/>
        </w:rPr>
      </w:r>
    </w:p>
    <w:tbl>
      <w:tblPr>
        <w:tblStyle w:val="Table1"/>
        <w:tblW w:w="9315.0" w:type="dxa"/>
        <w:jc w:val="left"/>
        <w:tblInd w:w="30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05"/>
        <w:gridCol w:w="4110"/>
        <w:tblGridChange w:id="0">
          <w:tblGrid>
            <w:gridCol w:w="5205"/>
            <w:gridCol w:w="4110"/>
          </w:tblGrid>
        </w:tblGridChange>
      </w:tblGrid>
      <w:tr>
        <w:trPr>
          <w:cantSplit w:val="0"/>
          <w:trHeight w:val="505" w:hRule="atLeast"/>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EXPEDIENTE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32" w:lineRule="auto"/>
              <w:ind w:left="175" w:firstLine="0"/>
              <w:rPr>
                <w:color w:val="000000"/>
              </w:rPr>
            </w:pPr>
            <w:r w:rsidDel="00000000" w:rsidR="00000000" w:rsidRPr="00000000">
              <w:rPr>
                <w:rtl w:val="0"/>
              </w:rPr>
              <w:t xml:space="preserve"> 202576002100100007E</w:t>
            </w: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No. de contrato o convenio</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before="232" w:line="251" w:lineRule="auto"/>
              <w:ind w:left="175" w:firstLine="0"/>
              <w:rPr>
                <w:color w:val="000000"/>
              </w:rPr>
            </w:pPr>
            <w:r w:rsidDel="00000000" w:rsidR="00000000" w:rsidRPr="00000000">
              <w:rPr>
                <w:rtl w:val="0"/>
              </w:rPr>
              <w:t xml:space="preserve">768</w:t>
            </w:r>
            <w:r w:rsidDel="00000000" w:rsidR="00000000" w:rsidRPr="00000000">
              <w:rPr>
                <w:color w:val="000000"/>
                <w:rtl w:val="0"/>
              </w:rPr>
              <w:t xml:space="preserve"> DE 2024</w:t>
            </w:r>
          </w:p>
        </w:tc>
      </w:tr>
      <w:tr>
        <w:trPr>
          <w:cantSplit w:val="0"/>
          <w:trHeight w:val="758"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1" w:lineRule="auto"/>
              <w:ind w:left="110" w:firstLine="0"/>
              <w:rPr>
                <w:color w:val="000000"/>
              </w:rPr>
            </w:pPr>
            <w:r w:rsidDel="00000000" w:rsidR="00000000" w:rsidRPr="00000000">
              <w:rPr>
                <w:color w:val="000000"/>
                <w:rtl w:val="0"/>
              </w:rPr>
              <w:t xml:space="preserve">Tipo de contrato</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CONVENIO INTERADMINISTRATIVO</w:t>
            </w:r>
          </w:p>
        </w:tc>
      </w:tr>
      <w:tr>
        <w:trPr>
          <w:cantSplit w:val="0"/>
          <w:trHeight w:val="757"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Contratista</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003"/>
                <w:tab w:val="left" w:leader="none" w:pos="3396"/>
              </w:tabs>
              <w:ind w:left="112" w:right="103" w:firstLine="0"/>
              <w:rPr>
                <w:color w:val="000000"/>
              </w:rPr>
            </w:pPr>
            <w:r w:rsidDel="00000000" w:rsidR="00000000" w:rsidRPr="00000000">
              <w:rPr>
                <w:rtl w:val="0"/>
              </w:rPr>
              <w:t xml:space="preserve">ASOCIACIÓN NACIONAL DE MÚSICA SINFÓNICA</w:t>
            </w:r>
            <w:r w:rsidDel="00000000" w:rsidR="00000000" w:rsidRPr="00000000">
              <w:rPr>
                <w:rtl w:val="0"/>
              </w:rPr>
            </w:r>
          </w:p>
        </w:tc>
      </w:tr>
      <w:tr>
        <w:trPr>
          <w:cantSplit w:val="0"/>
          <w:trHeight w:val="2265" w:hRule="atLeast"/>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Objeto del contrato</w:t>
            </w:r>
          </w:p>
        </w:tc>
        <w:tc>
          <w:tcPr/>
          <w:p w:rsidR="00000000" w:rsidDel="00000000" w:rsidP="00000000" w:rsidRDefault="00000000" w:rsidRPr="00000000" w14:paraId="00000010">
            <w:pPr>
              <w:spacing w:before="5" w:line="235" w:lineRule="auto"/>
              <w:ind w:right="84"/>
              <w:jc w:val="both"/>
              <w:rPr/>
            </w:pPr>
            <w:r w:rsidDel="00000000" w:rsidR="00000000" w:rsidRPr="00000000">
              <w:rPr>
                <w:rtl w:val="0"/>
              </w:rPr>
              <w:t xml:space="preserve">“Aunar esfuerzos institucionales, administrativos, técnicos, financieros y tecnológicos entre la Secretaría Distrital de Cultura Recreación y Deporte y la Asociación Nacional de Música Sinfónica, para la estructuración, preparación, lanzamiento, divulgación y previsión en general del Concurso Internacional de Violín 2025” </w:t>
            </w:r>
          </w:p>
        </w:tc>
      </w:tr>
      <w:tr>
        <w:trPr>
          <w:cantSplit w:val="0"/>
          <w:trHeight w:val="375"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252" w:lineRule="auto"/>
              <w:ind w:left="141" w:hanging="141"/>
              <w:rPr>
                <w:color w:val="000000"/>
              </w:rPr>
            </w:pPr>
            <w:r w:rsidDel="00000000" w:rsidR="00000000" w:rsidRPr="00000000">
              <w:rPr>
                <w:rtl w:val="0"/>
              </w:rPr>
              <w:t xml:space="preserve"> </w:t>
            </w:r>
            <w:r w:rsidDel="00000000" w:rsidR="00000000" w:rsidRPr="00000000">
              <w:rPr>
                <w:color w:val="000000"/>
                <w:rtl w:val="0"/>
              </w:rPr>
              <w:t xml:space="preserve">Plazo</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4" w:line="235" w:lineRule="auto"/>
              <w:ind w:left="112" w:firstLine="0"/>
              <w:rPr>
                <w:color w:val="000000"/>
              </w:rPr>
            </w:pPr>
            <w:r w:rsidDel="00000000" w:rsidR="00000000" w:rsidRPr="00000000">
              <w:rPr>
                <w:rtl w:val="0"/>
              </w:rPr>
              <w:t xml:space="preserve">Desde 6/12/2024 hasta el 28/11/2025</w:t>
            </w:r>
            <w:r w:rsidDel="00000000" w:rsidR="00000000" w:rsidRPr="00000000">
              <w:rPr>
                <w:rtl w:val="0"/>
              </w:rPr>
            </w:r>
          </w:p>
        </w:tc>
      </w:tr>
      <w:tr>
        <w:trPr>
          <w:cantSplit w:val="0"/>
          <w:trHeight w:val="681"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2" w:lineRule="auto"/>
              <w:ind w:left="110" w:firstLine="0"/>
              <w:rPr>
                <w:color w:val="000000"/>
              </w:rPr>
            </w:pPr>
            <w:r w:rsidDel="00000000" w:rsidR="00000000" w:rsidRPr="00000000">
              <w:rPr>
                <w:color w:val="000000"/>
                <w:rtl w:val="0"/>
              </w:rPr>
              <w:t xml:space="preserve">Fecha del cumplimiento de los requisitos de ejecución</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rtl w:val="0"/>
              </w:rPr>
              <w:t xml:space="preserve">06/12/2024</w:t>
            </w: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2" w:lineRule="auto"/>
              <w:ind w:left="110" w:right="86" w:firstLine="0"/>
              <w:jc w:val="both"/>
              <w:rPr>
                <w:color w:val="000000"/>
              </w:rPr>
            </w:pPr>
            <w:r w:rsidDel="00000000" w:rsidR="00000000" w:rsidRPr="00000000">
              <w:rPr>
                <w:color w:val="000000"/>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before="2" w:lineRule="auto"/>
              <w:ind w:left="112" w:firstLine="0"/>
              <w:rPr>
                <w:color w:val="000000"/>
              </w:rPr>
            </w:pPr>
            <w:r w:rsidDel="00000000" w:rsidR="00000000" w:rsidRPr="00000000">
              <w:rPr>
                <w:color w:val="000000"/>
                <w:rtl w:val="0"/>
              </w:rPr>
              <w:t xml:space="preserve">N/A</w:t>
            </w:r>
          </w:p>
        </w:tc>
      </w:tr>
      <w:tr>
        <w:trPr>
          <w:cantSplit w:val="0"/>
          <w:trHeight w:val="757" w:hRule="atLeast"/>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before="1" w:lineRule="auto"/>
              <w:rPr>
                <w:b w:val="1"/>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inicio</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6/12/2024</w:t>
            </w:r>
            <w:r w:rsidDel="00000000" w:rsidR="00000000" w:rsidRPr="00000000">
              <w:rPr>
                <w:rtl w:val="0"/>
              </w:rPr>
            </w:r>
          </w:p>
        </w:tc>
      </w:tr>
    </w:tbl>
    <w:p w:rsidR="00000000" w:rsidDel="00000000" w:rsidP="00000000" w:rsidRDefault="00000000" w:rsidRPr="00000000" w14:paraId="0000001A">
      <w:pPr>
        <w:pBdr>
          <w:top w:space="0" w:sz="0" w:val="nil"/>
          <w:left w:space="0" w:sz="0" w:val="nil"/>
          <w:bottom w:space="0" w:sz="0" w:val="nil"/>
          <w:right w:space="0" w:sz="0" w:val="nil"/>
          <w:between w:space="0" w:sz="0" w:val="nil"/>
        </w:pBdr>
        <w:ind w:left="110" w:firstLine="0"/>
        <w:rPr>
          <w:color w:val="000000"/>
        </w:rPr>
        <w:sectPr>
          <w:headerReference r:id="rId7" w:type="default"/>
          <w:pgSz w:h="15840" w:w="12240" w:orient="portrait"/>
          <w:pgMar w:bottom="280" w:top="3040" w:left="1440" w:right="1080" w:header="1022" w:footer="0"/>
          <w:pgNumType w:start="1"/>
        </w:sect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before="41" w:lineRule="auto"/>
        <w:rPr>
          <w:b w:val="1"/>
          <w:color w:val="000000"/>
        </w:rPr>
      </w:pPr>
      <w:r w:rsidDel="00000000" w:rsidR="00000000" w:rsidRPr="00000000">
        <w:rPr>
          <w:rtl w:val="0"/>
        </w:rPr>
      </w:r>
    </w:p>
    <w:tbl>
      <w:tblPr>
        <w:tblStyle w:val="Table2"/>
        <w:tblW w:w="9352.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0"/>
        <w:gridCol w:w="4112"/>
        <w:tblGridChange w:id="0">
          <w:tblGrid>
            <w:gridCol w:w="5240"/>
            <w:gridCol w:w="4112"/>
          </w:tblGrid>
        </w:tblGridChange>
      </w:tblGrid>
      <w:tr>
        <w:trPr>
          <w:cantSplit w:val="0"/>
          <w:trHeight w:val="503" w:hRule="atLeast"/>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Fecha de terminación</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ind w:left="112" w:firstLine="0"/>
              <w:rPr>
                <w:color w:val="000000"/>
              </w:rPr>
            </w:pPr>
            <w:r w:rsidDel="00000000" w:rsidR="00000000" w:rsidRPr="00000000">
              <w:rPr>
                <w:rtl w:val="0"/>
              </w:rPr>
              <w:t xml:space="preserve">28/11/2025</w:t>
            </w:r>
            <w:r w:rsidDel="00000000" w:rsidR="00000000" w:rsidRPr="00000000">
              <w:rPr>
                <w:rtl w:val="0"/>
              </w:rPr>
            </w:r>
          </w:p>
        </w:tc>
      </w:tr>
      <w:tr>
        <w:trPr>
          <w:cantSplit w:val="0"/>
          <w:trHeight w:val="506"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ind w:left="110" w:firstLine="0"/>
              <w:rPr>
                <w:color w:val="000000"/>
              </w:rPr>
            </w:pPr>
            <w:r w:rsidDel="00000000" w:rsidR="00000000" w:rsidRPr="00000000">
              <w:rPr>
                <w:color w:val="000000"/>
                <w:rtl w:val="0"/>
              </w:rPr>
              <w:t xml:space="preserve">Período analizado o certificado (dd/mm/aa)</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ind w:left="112" w:firstLine="0"/>
              <w:rPr>
                <w:color w:val="000000"/>
              </w:rPr>
            </w:pPr>
            <w:r w:rsidDel="00000000" w:rsidR="00000000" w:rsidRPr="00000000">
              <w:rPr>
                <w:color w:val="000000"/>
                <w:rtl w:val="0"/>
              </w:rPr>
              <w:t xml:space="preserve">DEL 01/04/2025 AL 30/04/2025</w:t>
            </w:r>
          </w:p>
        </w:tc>
      </w:tr>
      <w:tr>
        <w:trPr>
          <w:cantSplit w:val="0"/>
          <w:trHeight w:val="1910" w:hRule="atLeast"/>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ind w:left="110" w:right="88" w:firstLine="0"/>
              <w:jc w:val="both"/>
              <w:rPr>
                <w:color w:val="000000"/>
              </w:rPr>
            </w:pPr>
            <w:r w:rsidDel="00000000" w:rsidR="00000000" w:rsidRPr="00000000">
              <w:rPr>
                <w:color w:val="000000"/>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112" w:firstLine="0"/>
              <w:rPr/>
            </w:pPr>
            <w:r w:rsidDel="00000000" w:rsidR="00000000" w:rsidRPr="00000000">
              <w:rPr>
                <w:rtl w:val="0"/>
              </w:rPr>
              <w:t xml:space="preserve">N/A</w:t>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spacing w:before="23" w:lineRule="auto"/>
        <w:rPr>
          <w:b w:val="1"/>
          <w:color w:val="000000"/>
        </w:rPr>
      </w:pPr>
      <w:r w:rsidDel="00000000" w:rsidR="00000000" w:rsidRPr="00000000">
        <w:rPr>
          <w:rtl w:val="0"/>
        </w:rPr>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tabs>
          <w:tab w:val="left" w:leader="none" w:pos="622"/>
        </w:tabs>
        <w:spacing w:before="1" w:lineRule="auto"/>
        <w:ind w:left="622" w:hanging="358"/>
        <w:rPr>
          <w:color w:val="000000"/>
        </w:rPr>
      </w:pPr>
      <w:r w:rsidDel="00000000" w:rsidR="00000000" w:rsidRPr="00000000">
        <w:rPr>
          <w:b w:val="1"/>
          <w:color w:val="000000"/>
          <w:rtl w:val="0"/>
        </w:rPr>
        <w:t xml:space="preserve">INFORME SOBRE EJECUCIÓN Y AVANCE DEL CONTRATO</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191" w:lineRule="auto"/>
        <w:ind w:firstLine="264"/>
        <w:rPr>
          <w:color w:val="000000"/>
        </w:rPr>
      </w:pPr>
      <w:r w:rsidDel="00000000" w:rsidR="00000000" w:rsidRPr="00000000">
        <w:rPr>
          <w:color w:val="000000"/>
          <w:rtl w:val="0"/>
        </w:rPr>
        <w:t xml:space="preserve">A continuación, se presenta el estado de avance de la ejecución del Convenio N°</w:t>
      </w:r>
      <w:r w:rsidDel="00000000" w:rsidR="00000000" w:rsidRPr="00000000">
        <w:rPr>
          <w:rtl w:val="0"/>
        </w:rPr>
        <w:t xml:space="preserve">768</w:t>
      </w:r>
      <w:r w:rsidDel="00000000" w:rsidR="00000000" w:rsidRPr="00000000">
        <w:rPr>
          <w:color w:val="000000"/>
          <w:rtl w:val="0"/>
        </w:rPr>
        <w:t xml:space="preserve"> de 2024.</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139700</wp:posOffset>
                </wp:positionH>
                <wp:positionV relativeFrom="paragraph">
                  <wp:posOffset>76200</wp:posOffset>
                </wp:positionV>
                <wp:extent cx="5972175" cy="734693"/>
                <wp:effectExtent b="0" l="0" r="0" t="0"/>
                <wp:wrapNone/>
                <wp:docPr id="10" name=""/>
                <a:graphic>
                  <a:graphicData uri="http://schemas.microsoft.com/office/word/2010/wordprocessingShape">
                    <wps:wsp>
                      <wps:cNvSpPr/>
                      <wps:cNvPr id="2" name="Shape 2"/>
                      <wps:spPr>
                        <a:xfrm>
                          <a:off x="2373565" y="1457170"/>
                          <a:ext cx="5944870" cy="4645660"/>
                        </a:xfrm>
                        <a:custGeom>
                          <a:rect b="b" l="l" r="r" t="t"/>
                          <a:pathLst>
                            <a:path extrusionOk="0" h="4645660" w="5944870">
                              <a:moveTo>
                                <a:pt x="5944870" y="0"/>
                              </a:moveTo>
                              <a:lnTo>
                                <a:pt x="5938520" y="0"/>
                              </a:lnTo>
                              <a:lnTo>
                                <a:pt x="5938520" y="6350"/>
                              </a:lnTo>
                              <a:lnTo>
                                <a:pt x="5938520" y="4640580"/>
                              </a:lnTo>
                              <a:lnTo>
                                <a:pt x="6350" y="4640580"/>
                              </a:lnTo>
                              <a:lnTo>
                                <a:pt x="6350" y="6350"/>
                              </a:lnTo>
                              <a:lnTo>
                                <a:pt x="5938520" y="6350"/>
                              </a:lnTo>
                              <a:lnTo>
                                <a:pt x="5938520" y="0"/>
                              </a:lnTo>
                              <a:lnTo>
                                <a:pt x="0" y="0"/>
                              </a:lnTo>
                              <a:lnTo>
                                <a:pt x="0" y="6350"/>
                              </a:lnTo>
                              <a:lnTo>
                                <a:pt x="0" y="4640580"/>
                              </a:lnTo>
                              <a:lnTo>
                                <a:pt x="0" y="4645660"/>
                              </a:lnTo>
                              <a:lnTo>
                                <a:pt x="5938520" y="4645660"/>
                              </a:lnTo>
                              <a:lnTo>
                                <a:pt x="5944870" y="4645660"/>
                              </a:lnTo>
                              <a:lnTo>
                                <a:pt x="5944870" y="0"/>
                              </a:lnTo>
                              <a:close/>
                            </a:path>
                          </a:pathLst>
                        </a:custGeom>
                        <a:solidFill>
                          <a:srgbClr val="000000"/>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139700</wp:posOffset>
                </wp:positionH>
                <wp:positionV relativeFrom="paragraph">
                  <wp:posOffset>76200</wp:posOffset>
                </wp:positionV>
                <wp:extent cx="5972175" cy="734693"/>
                <wp:effectExtent b="0" l="0" r="0" t="0"/>
                <wp:wrapNone/>
                <wp:docPr id="10"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5972175" cy="734693"/>
                        </a:xfrm>
                        <a:prstGeom prst="rect"/>
                        <a:ln/>
                      </pic:spPr>
                    </pic:pic>
                  </a:graphicData>
                </a:graphic>
              </wp:anchor>
            </w:drawing>
          </mc:Fallback>
        </mc:AlternateContent>
      </w:r>
    </w:p>
    <w:p w:rsidR="00000000" w:rsidDel="00000000" w:rsidP="00000000" w:rsidRDefault="00000000" w:rsidRPr="00000000" w14:paraId="00000025">
      <w:pPr>
        <w:tabs>
          <w:tab w:val="left" w:leader="none" w:pos="1092"/>
          <w:tab w:val="left" w:leader="none" w:pos="1094"/>
        </w:tabs>
        <w:ind w:right="199"/>
        <w:rPr/>
      </w:pPr>
      <w:r w:rsidDel="00000000" w:rsidR="00000000" w:rsidRPr="00000000">
        <w:rPr>
          <w:rtl w:val="0"/>
        </w:rPr>
      </w:r>
    </w:p>
    <w:p w:rsidR="00000000" w:rsidDel="00000000" w:rsidP="00000000" w:rsidRDefault="00000000" w:rsidRPr="00000000" w14:paraId="00000026">
      <w:pPr>
        <w:pStyle w:val="Heading1"/>
        <w:spacing w:line="252.00000000000003" w:lineRule="auto"/>
        <w:ind w:left="264" w:firstLine="0"/>
        <w:jc w:val="left"/>
        <w:rPr/>
      </w:pPr>
      <w:r w:rsidDel="00000000" w:rsidR="00000000" w:rsidRPr="00000000">
        <w:rPr>
          <w:rtl w:val="0"/>
        </w:rPr>
        <w:t xml:space="preserve">Se procede a rendir el informe sobre la ejecución y cumplimiento del objeto contratado y cada una de las obligaciones pactadas así:</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167" w:lineRule="auto"/>
        <w:ind w:left="264" w:firstLine="0"/>
        <w:rPr>
          <w:color w:val="000000"/>
        </w:rPr>
      </w:pPr>
      <w:r w:rsidDel="00000000" w:rsidR="00000000" w:rsidRPr="00000000">
        <w:rPr>
          <w:color w:val="000000"/>
          <w:rtl w:val="0"/>
        </w:rPr>
        <w:t xml:space="preserve">OBLIGACIÓN No. 1:</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blHeader w:val="0"/>
        </w:trPr>
        <w:tc>
          <w:tcPr/>
          <w:p w:rsidR="00000000" w:rsidDel="00000000" w:rsidP="00000000" w:rsidRDefault="00000000" w:rsidRPr="00000000" w14:paraId="0000002B">
            <w:pPr>
              <w:spacing w:line="229" w:lineRule="auto"/>
              <w:ind w:right="4"/>
              <w:jc w:val="both"/>
              <w:rPr>
                <w:color w:val="000000"/>
              </w:rPr>
            </w:pPr>
            <w:r w:rsidDel="00000000" w:rsidR="00000000" w:rsidRPr="00000000">
              <w:rPr>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2C">
            <w:pPr>
              <w:spacing w:before="4" w:line="241" w:lineRule="auto"/>
              <w:ind w:left="112" w:firstLine="0"/>
              <w:jc w:val="both"/>
              <w:rPr/>
            </w:pPr>
            <w:r w:rsidDel="00000000" w:rsidR="00000000" w:rsidRPr="00000000">
              <w:rPr>
                <w:rtl w:val="0"/>
              </w:rPr>
              <w:t xml:space="preserve">Se creó el organigrama detallado del Concurso, delimitando las distintas áreas de trabajo del mismo y definiendo los distintos roles que las conforman.</w:t>
            </w:r>
          </w:p>
          <w:p w:rsidR="00000000" w:rsidDel="00000000" w:rsidP="00000000" w:rsidRDefault="00000000" w:rsidRPr="00000000" w14:paraId="0000002D">
            <w:pPr>
              <w:spacing w:before="4" w:line="241" w:lineRule="auto"/>
              <w:ind w:left="112" w:firstLine="0"/>
              <w:jc w:val="both"/>
              <w:rPr/>
            </w:pPr>
            <w:r w:rsidDel="00000000" w:rsidR="00000000" w:rsidRPr="00000000">
              <w:rPr>
                <w:rtl w:val="0"/>
              </w:rPr>
            </w:r>
          </w:p>
          <w:p w:rsidR="00000000" w:rsidDel="00000000" w:rsidP="00000000" w:rsidRDefault="00000000" w:rsidRPr="00000000" w14:paraId="0000002E">
            <w:pPr>
              <w:spacing w:before="4" w:line="241" w:lineRule="auto"/>
              <w:ind w:left="112" w:firstLine="0"/>
              <w:jc w:val="both"/>
              <w:rPr/>
            </w:pPr>
            <w:r w:rsidDel="00000000" w:rsidR="00000000" w:rsidRPr="00000000">
              <w:rPr>
                <w:rtl w:val="0"/>
              </w:rPr>
              <w:t xml:space="preserve">Se creó el manual de funciones para el equipo del Concurso en todas sus fases.</w:t>
            </w:r>
          </w:p>
          <w:p w:rsidR="00000000" w:rsidDel="00000000" w:rsidP="00000000" w:rsidRDefault="00000000" w:rsidRPr="00000000" w14:paraId="0000002F">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0">
            <w:pPr>
              <w:spacing w:before="4" w:line="241" w:lineRule="auto"/>
              <w:ind w:left="112" w:firstLine="0"/>
              <w:jc w:val="both"/>
              <w:rPr/>
            </w:pPr>
            <w:r w:rsidDel="00000000" w:rsidR="00000000" w:rsidRPr="00000000">
              <w:rPr>
                <w:rtl w:val="0"/>
              </w:rPr>
              <w:t xml:space="preserve">Se creó el diagrama de procesos detallado, con automatizaciones de cronograma y roles.</w:t>
            </w:r>
          </w:p>
          <w:p w:rsidR="00000000" w:rsidDel="00000000" w:rsidP="00000000" w:rsidRDefault="00000000" w:rsidRPr="00000000" w14:paraId="00000031">
            <w:pPr>
              <w:spacing w:before="4" w:line="241" w:lineRule="auto"/>
              <w:ind w:left="112" w:firstLine="0"/>
              <w:jc w:val="both"/>
              <w:rPr/>
            </w:pPr>
            <w:r w:rsidDel="00000000" w:rsidR="00000000" w:rsidRPr="00000000">
              <w:rPr>
                <w:rtl w:val="0"/>
              </w:rPr>
            </w:r>
          </w:p>
          <w:p w:rsidR="00000000" w:rsidDel="00000000" w:rsidP="00000000" w:rsidRDefault="00000000" w:rsidRPr="00000000" w14:paraId="00000032">
            <w:pPr>
              <w:spacing w:before="4" w:line="241" w:lineRule="auto"/>
              <w:ind w:left="112" w:firstLine="0"/>
              <w:jc w:val="both"/>
              <w:rPr>
                <w:color w:val="000000"/>
              </w:rPr>
            </w:pPr>
            <w:r w:rsidDel="00000000" w:rsidR="00000000" w:rsidRPr="00000000">
              <w:rPr>
                <w:rtl w:val="0"/>
              </w:rPr>
              <w:t xml:space="preserve">Se realizó la selección de los luthier a cargo de la fabricación de violines para ser entregados a violinistas locales destacados en las clases magistrales. Se brindó apoyó a su proceso de contratación incluyendo articulación con el equipo jurídico y financiero del Teatro Mayor Julio Mario Santodomingo, acompañamiento a la luthier Alejandra Bedoya, búsqueda de luthiers adicionales en articulación con la coordinación académica del concurso. Se anexan los mencionados documentos. </w:t>
            </w:r>
            <w:r w:rsidDel="00000000" w:rsidR="00000000" w:rsidRPr="00000000">
              <w:rPr>
                <w:rtl w:val="0"/>
              </w:rPr>
            </w:r>
          </w:p>
        </w:tc>
      </w:tr>
    </w:tbl>
    <w:p w:rsidR="00000000" w:rsidDel="00000000" w:rsidP="00000000" w:rsidRDefault="00000000" w:rsidRPr="00000000" w14:paraId="00000033">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2:</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bl>
    <w:p w:rsidR="00000000" w:rsidDel="00000000" w:rsidP="00000000" w:rsidRDefault="00000000" w:rsidRPr="00000000" w14:paraId="00000038">
      <w:pPr>
        <w:pBdr>
          <w:top w:space="0" w:sz="0" w:val="nil"/>
          <w:left w:space="0" w:sz="0" w:val="nil"/>
          <w:bottom w:space="0" w:sz="0" w:val="nil"/>
          <w:right w:space="0" w:sz="0" w:val="nil"/>
          <w:between w:space="0" w:sz="0" w:val="nil"/>
        </w:pBdr>
        <w:spacing w:before="41" w:lineRule="auto"/>
        <w:rPr>
          <w:color w:val="000000"/>
        </w:rPr>
      </w:pPr>
      <w:r w:rsidDel="00000000" w:rsidR="00000000" w:rsidRPr="00000000">
        <w:rPr>
          <w:rtl w:val="0"/>
        </w:rPr>
      </w:r>
    </w:p>
    <w:tbl>
      <w:tblPr>
        <w:tblStyle w:val="Table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1425" w:hRule="atLeast"/>
          <w:tblHeader w:val="0"/>
        </w:trPr>
        <w:tc>
          <w:tcPr/>
          <w:p w:rsidR="00000000" w:rsidDel="00000000" w:rsidP="00000000" w:rsidRDefault="00000000" w:rsidRPr="00000000" w14:paraId="00000039">
            <w:pPr>
              <w:spacing w:before="3" w:line="229" w:lineRule="auto"/>
              <w:ind w:right="5"/>
              <w:jc w:val="both"/>
              <w:rPr>
                <w:color w:val="000000"/>
              </w:rPr>
            </w:pPr>
            <w:r w:rsidDel="00000000" w:rsidR="00000000" w:rsidRPr="00000000">
              <w:rPr>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3A">
            <w:pPr>
              <w:spacing w:before="4" w:line="241" w:lineRule="auto"/>
              <w:ind w:left="112" w:firstLine="0"/>
              <w:jc w:val="both"/>
              <w:rPr>
                <w:color w:val="000000"/>
              </w:rPr>
            </w:pPr>
            <w:r w:rsidDel="00000000" w:rsidR="00000000" w:rsidRPr="00000000">
              <w:rPr>
                <w:rtl w:val="0"/>
              </w:rPr>
              <w:t xml:space="preserve">Se realizó seguimiento al proceso de contratación de </w:t>
            </w:r>
            <w:r w:rsidDel="00000000" w:rsidR="00000000" w:rsidRPr="00000000">
              <w:rPr>
                <w:rtl w:val="0"/>
              </w:rPr>
              <w:t xml:space="preserve">jurados</w:t>
            </w:r>
            <w:r w:rsidDel="00000000" w:rsidR="00000000" w:rsidRPr="00000000">
              <w:rPr>
                <w:rtl w:val="0"/>
              </w:rPr>
              <w:t xml:space="preserve">, en articulación con la Asociación Nacional de Música Sinfónica y haciendo la solicitud de documentación a jurados o managers y realizando los ajustes pertinentes a sus obligaciones contractuales. </w:t>
            </w:r>
            <w:r w:rsidDel="00000000" w:rsidR="00000000" w:rsidRPr="00000000">
              <w:rPr>
                <w:rtl w:val="0"/>
              </w:rPr>
            </w:r>
          </w:p>
        </w:tc>
      </w:tr>
    </w:tbl>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3:</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 w:before="3" w:lineRule="auto"/>
        <w:rPr>
          <w:color w:val="000000"/>
        </w:rPr>
      </w:pPr>
      <w:r w:rsidDel="00000000" w:rsidR="00000000" w:rsidRPr="00000000">
        <w:rPr>
          <w:rtl w:val="0"/>
        </w:rPr>
      </w:r>
    </w:p>
    <w:tbl>
      <w:tblPr>
        <w:tblStyle w:val="Table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184"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29" w:lineRule="auto"/>
              <w:ind w:right="4"/>
              <w:jc w:val="both"/>
              <w:rPr>
                <w:color w:val="000000"/>
              </w:rPr>
            </w:pPr>
            <w:r w:rsidDel="00000000" w:rsidR="00000000" w:rsidRPr="00000000">
              <w:rPr>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41">
            <w:pPr>
              <w:spacing w:before="4" w:line="241" w:lineRule="auto"/>
              <w:ind w:left="0" w:firstLine="0"/>
              <w:jc w:val="both"/>
              <w:rPr/>
            </w:pPr>
            <w:r w:rsidDel="00000000" w:rsidR="00000000" w:rsidRPr="00000000">
              <w:rPr>
                <w:rtl w:val="0"/>
              </w:rPr>
              <w:t xml:space="preserve">Junto con la coordinación de producción se ha realizado sin novedades, logrando el efectivo cumplimiento del cronograma del </w:t>
            </w:r>
            <w:r w:rsidDel="00000000" w:rsidR="00000000" w:rsidRPr="00000000">
              <w:rPr>
                <w:rtl w:val="0"/>
              </w:rPr>
              <w:t xml:space="preserve">convenio</w:t>
            </w:r>
            <w:r w:rsidDel="00000000" w:rsidR="00000000" w:rsidRPr="00000000">
              <w:rPr>
                <w:rtl w:val="0"/>
              </w:rPr>
              <w:t xml:space="preserve"> con actividades como: </w:t>
            </w:r>
          </w:p>
          <w:p w:rsidR="00000000" w:rsidDel="00000000" w:rsidP="00000000" w:rsidRDefault="00000000" w:rsidRPr="00000000" w14:paraId="00000042">
            <w:pPr>
              <w:spacing w:before="4" w:line="241" w:lineRule="auto"/>
              <w:ind w:left="112" w:firstLine="0"/>
              <w:jc w:val="both"/>
              <w:rPr>
                <w:color w:val="000000"/>
              </w:rPr>
            </w:pPr>
            <w:r w:rsidDel="00000000" w:rsidR="00000000" w:rsidRPr="00000000">
              <w:rPr>
                <w:rtl w:val="0"/>
              </w:rPr>
            </w:r>
          </w:p>
          <w:p w:rsidR="00000000" w:rsidDel="00000000" w:rsidP="00000000" w:rsidRDefault="00000000" w:rsidRPr="00000000" w14:paraId="00000043">
            <w:pPr>
              <w:spacing w:before="4" w:line="241" w:lineRule="auto"/>
              <w:ind w:left="112" w:firstLine="0"/>
              <w:jc w:val="both"/>
              <w:rPr/>
            </w:pPr>
            <w:r w:rsidDel="00000000" w:rsidR="00000000" w:rsidRPr="00000000">
              <w:rPr>
                <w:rtl w:val="0"/>
              </w:rPr>
              <w:t xml:space="preserve">Se creó el diagrama de procesos detallado, con automatizaciones de cronograma y roles.</w:t>
            </w:r>
          </w:p>
          <w:p w:rsidR="00000000" w:rsidDel="00000000" w:rsidP="00000000" w:rsidRDefault="00000000" w:rsidRPr="00000000" w14:paraId="00000044">
            <w:pPr>
              <w:spacing w:before="4" w:line="241" w:lineRule="auto"/>
              <w:ind w:left="112" w:firstLine="0"/>
              <w:jc w:val="both"/>
              <w:rPr/>
            </w:pPr>
            <w:r w:rsidDel="00000000" w:rsidR="00000000" w:rsidRPr="00000000">
              <w:rPr>
                <w:rtl w:val="0"/>
              </w:rPr>
            </w:r>
          </w:p>
          <w:p w:rsidR="00000000" w:rsidDel="00000000" w:rsidP="00000000" w:rsidRDefault="00000000" w:rsidRPr="00000000" w14:paraId="00000045">
            <w:pPr>
              <w:spacing w:before="4" w:line="241" w:lineRule="auto"/>
              <w:ind w:left="112" w:firstLine="0"/>
              <w:jc w:val="both"/>
              <w:rPr>
                <w:color w:val="000000"/>
              </w:rPr>
            </w:pPr>
            <w:r w:rsidDel="00000000" w:rsidR="00000000" w:rsidRPr="00000000">
              <w:rPr>
                <w:rtl w:val="0"/>
              </w:rPr>
              <w:t xml:space="preserve">Se realizó la planeación de traslados aéreos y alojamiento, en articulación con el equipo del Teatro Mayor Julio Mario Santo Domingo, dando lugar al formulario para recopilación de datos de viaje dirigido a jurados e invitados </w:t>
            </w:r>
            <w:r w:rsidDel="00000000" w:rsidR="00000000" w:rsidRPr="00000000">
              <w:rPr>
                <w:rtl w:val="0"/>
              </w:rPr>
              <w:t xml:space="preserve">especiales</w:t>
            </w:r>
            <w:r w:rsidDel="00000000" w:rsidR="00000000" w:rsidRPr="00000000">
              <w:rPr>
                <w:rtl w:val="0"/>
              </w:rPr>
              <w:t xml:space="preserve">. </w:t>
            </w:r>
            <w:hyperlink r:id="rId9">
              <w:r w:rsidDel="00000000" w:rsidR="00000000" w:rsidRPr="00000000">
                <w:rPr>
                  <w:color w:val="1155cc"/>
                  <w:u w:val="single"/>
                  <w:rtl w:val="0"/>
                </w:rPr>
                <w:t xml:space="preserve">Click aquí</w:t>
              </w:r>
            </w:hyperlink>
            <w:r w:rsidDel="00000000" w:rsidR="00000000" w:rsidRPr="00000000">
              <w:rPr>
                <w:rtl w:val="0"/>
              </w:rPr>
            </w:r>
          </w:p>
        </w:tc>
      </w:tr>
    </w:tbl>
    <w:p w:rsidR="00000000" w:rsidDel="00000000" w:rsidP="00000000" w:rsidRDefault="00000000" w:rsidRPr="00000000" w14:paraId="00000046">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4:</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7" w:lineRule="auto"/>
        <w:rPr>
          <w:color w:val="000000"/>
        </w:rPr>
      </w:pPr>
      <w:r w:rsidDel="00000000" w:rsidR="00000000" w:rsidRPr="00000000">
        <w:rPr>
          <w:rtl w:val="0"/>
        </w:rPr>
      </w:r>
    </w:p>
    <w:tbl>
      <w:tblPr>
        <w:tblStyle w:val="Table7"/>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885"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Participar en el comité técnico y acoger las recomendaciones que se impartan en tal instancia.</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ind w:left="112" w:right="83" w:firstLine="0"/>
              <w:jc w:val="both"/>
              <w:rPr>
                <w:color w:val="000000"/>
              </w:rPr>
            </w:pPr>
            <w:r w:rsidDel="00000000" w:rsidR="00000000" w:rsidRPr="00000000">
              <w:rPr>
                <w:rtl w:val="0"/>
              </w:rPr>
              <w:t xml:space="preserve">A la fecha se han realizado 4 comités técnicos, el último de ellos asincrónico el 28 de marzo de </w:t>
            </w:r>
            <w:r w:rsidDel="00000000" w:rsidR="00000000" w:rsidRPr="00000000">
              <w:rPr>
                <w:rtl w:val="0"/>
              </w:rPr>
              <w:t xml:space="preserve">2025</w:t>
            </w:r>
            <w:r w:rsidDel="00000000" w:rsidR="00000000" w:rsidRPr="00000000">
              <w:rPr>
                <w:rtl w:val="0"/>
              </w:rPr>
              <w:t xml:space="preserve">. Se anexan las actas de dichos comités las cuales se alojan en el expediente 202576002100100007E de Orfeo.</w:t>
            </w:r>
            <w:r w:rsidDel="00000000" w:rsidR="00000000" w:rsidRPr="00000000">
              <w:rPr>
                <w:rtl w:val="0"/>
              </w:rPr>
            </w:r>
          </w:p>
        </w:tc>
      </w:tr>
    </w:tbl>
    <w:p w:rsidR="00000000" w:rsidDel="00000000" w:rsidP="00000000" w:rsidRDefault="00000000" w:rsidRPr="00000000" w14:paraId="0000004D">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5:</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8"/>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53">
            <w:pPr>
              <w:spacing w:before="4" w:line="241" w:lineRule="auto"/>
              <w:ind w:left="112" w:firstLine="0"/>
              <w:jc w:val="both"/>
              <w:rPr/>
            </w:pPr>
            <w:r w:rsidDel="00000000" w:rsidR="00000000" w:rsidRPr="00000000">
              <w:rPr>
                <w:rtl w:val="0"/>
              </w:rPr>
              <w:t xml:space="preserve">En el quinto mes de ejecución, se han adelantado las acciones requeridas para garantizar el correcto desarrollo del convenio, tales como el apoyo administrativo desde la SCRD, así como el alistamiento y desarrollo de los compromisos de los </w:t>
            </w:r>
            <w:r w:rsidDel="00000000" w:rsidR="00000000" w:rsidRPr="00000000">
              <w:rPr>
                <w:rtl w:val="0"/>
              </w:rPr>
              <w:t xml:space="preserve">comités</w:t>
            </w:r>
            <w:r w:rsidDel="00000000" w:rsidR="00000000" w:rsidRPr="00000000">
              <w:rPr>
                <w:rtl w:val="0"/>
              </w:rPr>
              <w:t xml:space="preserve">.</w:t>
            </w:r>
          </w:p>
          <w:p w:rsidR="00000000" w:rsidDel="00000000" w:rsidP="00000000" w:rsidRDefault="00000000" w:rsidRPr="00000000" w14:paraId="00000054">
            <w:pPr>
              <w:spacing w:before="4" w:line="241" w:lineRule="auto"/>
              <w:ind w:left="112" w:firstLine="0"/>
              <w:jc w:val="both"/>
              <w:rPr/>
            </w:pPr>
            <w:hyperlink r:id="rId10">
              <w:r w:rsidDel="00000000" w:rsidR="00000000" w:rsidRPr="00000000">
                <w:rPr>
                  <w:color w:val="1155cc"/>
                  <w:u w:val="single"/>
                  <w:rtl w:val="0"/>
                </w:rPr>
                <w:t xml:space="preserve">https://drive.google.com/file/d/1YTqRGTB3OG6UevIlyM4F9i56l3Bm4G_B/view?usp=drive_link</w:t>
              </w:r>
            </w:hyperlink>
            <w:r w:rsidDel="00000000" w:rsidR="00000000" w:rsidRPr="00000000">
              <w:rPr>
                <w:rtl w:val="0"/>
              </w:rPr>
              <w:t xml:space="preserve"> </w:t>
            </w:r>
          </w:p>
        </w:tc>
      </w:tr>
    </w:tbl>
    <w:p w:rsidR="00000000" w:rsidDel="00000000" w:rsidP="00000000" w:rsidRDefault="00000000" w:rsidRPr="00000000" w14:paraId="00000055">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left="264" w:firstLine="0"/>
        <w:rPr/>
      </w:pPr>
      <w:r w:rsidDel="00000000" w:rsidR="00000000" w:rsidRPr="00000000">
        <w:rPr>
          <w:color w:val="000000"/>
          <w:rtl w:val="0"/>
        </w:rPr>
        <w:t xml:space="preserve">OBLIGACIÓN No. 6:</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ind w:left="264" w:firstLine="0"/>
        <w:rPr/>
      </w:pPr>
      <w:r w:rsidDel="00000000" w:rsidR="00000000" w:rsidRPr="00000000">
        <w:rPr>
          <w:rtl w:val="0"/>
        </w:rPr>
      </w:r>
    </w:p>
    <w:tbl>
      <w:tblPr>
        <w:tblStyle w:val="Table9"/>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560" w:hRule="atLeast"/>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52.00000000000003" w:lineRule="auto"/>
              <w:ind w:left="112" w:right="83" w:firstLine="0"/>
              <w:jc w:val="both"/>
              <w:rPr/>
            </w:pPr>
            <w:r w:rsidDel="00000000" w:rsidR="00000000" w:rsidRPr="00000000">
              <w:rPr>
                <w:rtl w:val="0"/>
              </w:rPr>
              <w:t xml:space="preserve">Se realizó apoyo a la actualización periódica del presupuesto general del Concurso, incluyendo la revisión de los aportes de entidades aliadas, en articulación con el equipo de la OFB y el Teatro Mayor. Se adjunta presupuesto.</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52.00000000000003" w:lineRule="auto"/>
              <w:ind w:left="112" w:right="83" w:firstLine="0"/>
              <w:jc w:val="both"/>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52.00000000000003" w:lineRule="auto"/>
              <w:ind w:left="112" w:right="83" w:firstLine="0"/>
              <w:jc w:val="both"/>
              <w:rPr>
                <w:color w:val="000000"/>
              </w:rPr>
            </w:pPr>
            <w:r w:rsidDel="00000000" w:rsidR="00000000" w:rsidRPr="00000000">
              <w:rPr>
                <w:rtl w:val="0"/>
              </w:rPr>
              <w:t xml:space="preserve">Se realizó la </w:t>
            </w:r>
            <w:r w:rsidDel="00000000" w:rsidR="00000000" w:rsidRPr="00000000">
              <w:rPr>
                <w:rtl w:val="0"/>
              </w:rPr>
              <w:t xml:space="preserve">gestión</w:t>
            </w:r>
            <w:r w:rsidDel="00000000" w:rsidR="00000000" w:rsidRPr="00000000">
              <w:rPr>
                <w:rtl w:val="0"/>
              </w:rPr>
              <w:t xml:space="preserve"> administrativa y financiera, tales como la solicitud de documentación a la Filarmónica para el proceso en la SCRD para la adhesión de la OFB al convenio 768 y la adición de los aportes de la misma entidad al presupuesto del Concurso.</w:t>
            </w:r>
            <w:r w:rsidDel="00000000" w:rsidR="00000000" w:rsidRPr="00000000">
              <w:rPr>
                <w:rtl w:val="0"/>
              </w:rPr>
            </w:r>
          </w:p>
        </w:tc>
      </w:tr>
    </w:tbl>
    <w:p w:rsidR="00000000" w:rsidDel="00000000" w:rsidP="00000000" w:rsidRDefault="00000000" w:rsidRPr="00000000" w14:paraId="0000005E">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7:</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0"/>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012" w:hRule="atLeast"/>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64">
            <w:pPr>
              <w:spacing w:before="4" w:line="241" w:lineRule="auto"/>
              <w:ind w:left="112" w:firstLine="0"/>
              <w:jc w:val="both"/>
              <w:rPr/>
            </w:pPr>
            <w:r w:rsidDel="00000000" w:rsidR="00000000" w:rsidRPr="00000000">
              <w:rPr>
                <w:rtl w:val="0"/>
              </w:rPr>
              <w:t xml:space="preserve">A la fecha se han realizado 3 informes de ejecución financiera correspondientes a los meses de febrero, marzo y abril , </w:t>
            </w:r>
            <w:r w:rsidDel="00000000" w:rsidR="00000000" w:rsidRPr="00000000">
              <w:rPr>
                <w:rtl w:val="0"/>
              </w:rPr>
              <w:t xml:space="preserve">informando</w:t>
            </w:r>
            <w:r w:rsidDel="00000000" w:rsidR="00000000" w:rsidRPr="00000000">
              <w:rPr>
                <w:rtl w:val="0"/>
              </w:rPr>
              <w:t xml:space="preserve"> la ejecución del convenio. Radicados por la ANMS en correspondencia externa de la </w:t>
            </w:r>
            <w:r w:rsidDel="00000000" w:rsidR="00000000" w:rsidRPr="00000000">
              <w:rPr>
                <w:rtl w:val="0"/>
              </w:rPr>
              <w:t xml:space="preserve">SCRD</w:t>
            </w:r>
            <w:r w:rsidDel="00000000" w:rsidR="00000000" w:rsidRPr="00000000">
              <w:rPr>
                <w:rtl w:val="0"/>
              </w:rPr>
              <w:t xml:space="preserve">.</w:t>
            </w:r>
          </w:p>
          <w:p w:rsidR="00000000" w:rsidDel="00000000" w:rsidP="00000000" w:rsidRDefault="00000000" w:rsidRPr="00000000" w14:paraId="00000065">
            <w:pPr>
              <w:spacing w:before="4" w:line="241" w:lineRule="auto"/>
              <w:ind w:left="112" w:firstLine="0"/>
              <w:jc w:val="both"/>
              <w:rPr/>
            </w:pPr>
            <w:r w:rsidDel="00000000" w:rsidR="00000000" w:rsidRPr="00000000">
              <w:rPr>
                <w:rtl w:val="0"/>
              </w:rPr>
              <w:t xml:space="preserve">En relación con la articulación con la Fundación Bolívar Davivienda se socializa el documento de condiciones de participación y el formulario de inscripción a las clases magistrales con la dirección ejecutiva de la Filarmónica Joven de Colombia; las observaciones recibidas fueron incorporadas en los documentos mencionados. Como parte de esta articulación, la Fundación Bolívar Davivienda reitera su interés en otorgar tiquetes a 10 violinistas provenientes de fuera de Bogotá para su desplazamiento hacia las clases magistrales; previo cumplimiento de los requisitos establecidos por el Concurso.</w:t>
            </w:r>
          </w:p>
          <w:p w:rsidR="00000000" w:rsidDel="00000000" w:rsidP="00000000" w:rsidRDefault="00000000" w:rsidRPr="00000000" w14:paraId="00000066">
            <w:pPr>
              <w:spacing w:before="4" w:line="241" w:lineRule="auto"/>
              <w:ind w:left="112" w:firstLine="0"/>
              <w:jc w:val="both"/>
              <w:rPr/>
            </w:pPr>
            <w:r w:rsidDel="00000000" w:rsidR="00000000" w:rsidRPr="00000000">
              <w:rPr>
                <w:rtl w:val="0"/>
              </w:rPr>
              <w:t xml:space="preserve">En relación con la Fundación Ramírez Moreno: se acompañó el proceso de contratación de los violines que serán entregados en el marco de las clases magistrales.</w:t>
            </w:r>
          </w:p>
        </w:tc>
      </w:tr>
    </w:tbl>
    <w:p w:rsidR="00000000" w:rsidDel="00000000" w:rsidP="00000000" w:rsidRDefault="00000000" w:rsidRPr="00000000" w14:paraId="00000067">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8:</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 w:before="6" w:lineRule="auto"/>
        <w:rPr>
          <w:color w:val="000000"/>
        </w:rPr>
      </w:pPr>
      <w:r w:rsidDel="00000000" w:rsidR="00000000" w:rsidRPr="00000000">
        <w:rPr>
          <w:rtl w:val="0"/>
        </w:rPr>
      </w:r>
    </w:p>
    <w:tbl>
      <w:tblPr>
        <w:tblStyle w:val="Table11"/>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3" w:hRule="atLeast"/>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r w:rsidDel="00000000" w:rsidR="00000000" w:rsidRPr="00000000">
              <w:rPr>
                <w:rtl w:val="0"/>
              </w:rPr>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8" w:hRule="atLeast"/>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Se realizó seguimiento a las consultas de posibles candidatos, dando respuesta oportuna a los mensajes dirigidos al correo electrónico oficial del Concurso. Durante el periodo del informe se atendieron 15 solicitudes de información al correo electrónico del concurso, relacionadas con aspectos del proceso de inscripción como repertorio, límite de edad, requisitos técnicos de vídeo, conformación del jurado, entre otras. Todas las solicitudes fueron atendidas de manera oportuna. Se puede verificar el seguimiento de este proceso en la siguiente tabla: </w:t>
            </w:r>
            <w:hyperlink r:id="rId11">
              <w:r w:rsidDel="00000000" w:rsidR="00000000" w:rsidRPr="00000000">
                <w:rPr>
                  <w:color w:val="1155cc"/>
                  <w:u w:val="single"/>
                  <w:rtl w:val="0"/>
                </w:rPr>
                <w:t xml:space="preserve">https://docs.google.com/spreadsheets/d/1ESujooKtngiB9DcPSLsGccR3kKL1HiLkCcnJ9gHmaSU/edit?gid=0#gid=0</w:t>
              </w:r>
            </w:hyperlink>
            <w:r w:rsidDel="00000000" w:rsidR="00000000" w:rsidRPr="00000000">
              <w:rPr>
                <w:rtl w:val="0"/>
              </w:rPr>
              <w:t xml:space="preserve"> </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En relación con el proceso de inscripción, con corte al 30 de abril se contaba con un total de 13 inscritos. Con la intención de incrementar el número de inscripciones se realizó, de manera articulada con la AOC, el envío de una segunda comunicación a todos los violinistas que fueron identificados en el ejercicio de mapeo de participantes en concursos internacionales. En este sentido se redactó el mensaje para este envío haciendo especial énfasis en la conformación del jurado. Como resultado de este proceso se envió la información de manera directa a 228 violinistas, participantes y/o finalistas en 25 concursos internacionales de gran prestigio.</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3" w:line="241" w:lineRule="auto"/>
              <w:ind w:left="112" w:firstLine="0"/>
              <w:jc w:val="both"/>
              <w:rPr/>
            </w:pPr>
            <w:r w:rsidDel="00000000" w:rsidR="00000000" w:rsidRPr="00000000">
              <w:rPr>
                <w:rtl w:val="0"/>
              </w:rPr>
              <w:t xml:space="preserve">Adicionalmente, se realizó el segundo envío de información a los profesores, directores de organizaciones y festivales que fueron identificados en el ejercicio de mapeo inicial. Para este proceso se realizó la redacción de la comunicación, la organización de la base de datos en el formato dispuesto por la SCRD para tal fin y la solicitud ante despacho para el envío de correos, dando como resultado el envío de 215 mensajes.</w:t>
            </w:r>
          </w:p>
        </w:tc>
      </w:tr>
    </w:tbl>
    <w:p w:rsidR="00000000" w:rsidDel="00000000" w:rsidP="00000000" w:rsidRDefault="00000000" w:rsidRPr="00000000" w14:paraId="00000072">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9:</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2"/>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1518" w:hRule="atLeast"/>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ind w:left="112" w:right="85" w:firstLine="0"/>
              <w:jc w:val="both"/>
              <w:rPr>
                <w:color w:val="000000"/>
              </w:rPr>
            </w:pPr>
            <w:r w:rsidDel="00000000" w:rsidR="00000000" w:rsidRPr="00000000">
              <w:rPr>
                <w:color w:val="000000"/>
                <w:rtl w:val="0"/>
              </w:rPr>
              <w:t xml:space="preserve">Para el cumplimiento de esta obligación se requiere que el concurso haya tenido lugar. Se aprueba una tasa techo en dólares para tener la provisión de premios lista para ese entonces.</w:t>
            </w:r>
          </w:p>
        </w:tc>
      </w:tr>
    </w:tbl>
    <w:p w:rsidR="00000000" w:rsidDel="00000000" w:rsidP="00000000" w:rsidRDefault="00000000" w:rsidRPr="00000000" w14:paraId="00000079">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10:</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tbl>
      <w:tblPr>
        <w:tblStyle w:val="Table13"/>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2277" w:hRule="atLeast"/>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before="4" w:line="237" w:lineRule="auto"/>
              <w:ind w:left="110" w:right="86" w:firstLine="0"/>
              <w:jc w:val="both"/>
              <w:rPr>
                <w:color w:val="000000"/>
              </w:rPr>
            </w:pPr>
            <w:r w:rsidDel="00000000" w:rsidR="00000000" w:rsidRPr="00000000">
              <w:rPr>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before="2" w:line="237" w:lineRule="auto"/>
              <w:ind w:left="112" w:right="83" w:firstLine="0"/>
              <w:jc w:val="both"/>
              <w:rPr>
                <w:color w:val="000000"/>
              </w:rPr>
            </w:pPr>
            <w:r w:rsidDel="00000000" w:rsidR="00000000" w:rsidRPr="00000000">
              <w:rPr>
                <w:rtl w:val="0"/>
              </w:rPr>
              <w:t xml:space="preserve">Se realizaron ajustes a la agenda académica del Concurso, según las sugerencias de la coordinación académica y la OFB; contemplando las condiciones de participación, proceso de selección, diseño de formularios de inscripción y elaboración de la matriz de programación de clases magistrales. Se anexa agenda académica. </w:t>
            </w:r>
            <w:r w:rsidDel="00000000" w:rsidR="00000000" w:rsidRPr="00000000">
              <w:rPr>
                <w:rtl w:val="0"/>
              </w:rPr>
            </w:r>
          </w:p>
        </w:tc>
      </w:tr>
    </w:tbl>
    <w:p w:rsidR="00000000" w:rsidDel="00000000" w:rsidP="00000000" w:rsidRDefault="00000000" w:rsidRPr="00000000" w14:paraId="00000080">
      <w:pPr>
        <w:pBdr>
          <w:top w:space="0" w:sz="0" w:val="nil"/>
          <w:left w:space="0" w:sz="0" w:val="nil"/>
          <w:bottom w:space="0" w:sz="0" w:val="nil"/>
          <w:right w:space="0" w:sz="0" w:val="nil"/>
          <w:between w:space="0" w:sz="0" w:val="nil"/>
        </w:pBdr>
        <w:ind w:left="264" w:firstLine="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ind w:left="264" w:firstLine="0"/>
        <w:rPr>
          <w:color w:val="000000"/>
        </w:rPr>
      </w:pPr>
      <w:r w:rsidDel="00000000" w:rsidR="00000000" w:rsidRPr="00000000">
        <w:rPr>
          <w:color w:val="000000"/>
          <w:rtl w:val="0"/>
        </w:rPr>
        <w:t xml:space="preserve">OBLIGACIÓN No. 11:</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before="9" w:lineRule="auto"/>
        <w:rPr>
          <w:color w:val="000000"/>
        </w:rPr>
      </w:pPr>
      <w:r w:rsidDel="00000000" w:rsidR="00000000" w:rsidRPr="00000000">
        <w:rPr>
          <w:rtl w:val="0"/>
        </w:rPr>
      </w:r>
    </w:p>
    <w:tbl>
      <w:tblPr>
        <w:tblStyle w:val="Table14"/>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1" w:hRule="atLeast"/>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32"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32" w:lineRule="auto"/>
              <w:ind w:left="112" w:firstLine="0"/>
              <w:rPr>
                <w:color w:val="000000"/>
              </w:rPr>
            </w:pPr>
            <w:r w:rsidDel="00000000" w:rsidR="00000000" w:rsidRPr="00000000">
              <w:rPr>
                <w:color w:val="000000"/>
                <w:rtl w:val="0"/>
              </w:rPr>
              <w:t xml:space="preserve">ANÁLISIS DEL CUMPLIMIENTO.</w:t>
            </w:r>
          </w:p>
        </w:tc>
      </w:tr>
      <w:tr>
        <w:trPr>
          <w:cantSplit w:val="0"/>
          <w:trHeight w:val="570" w:hRule="atLeast"/>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4" w:line="237" w:lineRule="auto"/>
              <w:ind w:left="110" w:right="86" w:firstLine="0"/>
              <w:jc w:val="both"/>
              <w:rPr/>
            </w:pPr>
            <w:r w:rsidDel="00000000" w:rsidR="00000000" w:rsidRPr="00000000">
              <w:rPr>
                <w:rtl w:val="0"/>
              </w:rPr>
              <w:t xml:space="preserve">Gestionar y seguir la relación con patrocinadores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before="4" w:line="237" w:lineRule="auto"/>
              <w:ind w:right="86"/>
              <w:jc w:val="both"/>
              <w:rPr>
                <w:color w:val="000000"/>
              </w:rPr>
            </w:pPr>
            <w:r w:rsidDel="00000000" w:rsidR="00000000" w:rsidRPr="00000000">
              <w:rPr>
                <w:rtl w:val="0"/>
              </w:rPr>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4" w:line="241" w:lineRule="auto"/>
              <w:ind w:left="112" w:firstLine="0"/>
              <w:jc w:val="both"/>
              <w:rPr/>
            </w:pPr>
            <w:r w:rsidDel="00000000" w:rsidR="00000000" w:rsidRPr="00000000">
              <w:rPr>
                <w:rtl w:val="0"/>
              </w:rPr>
              <w:t xml:space="preserve">Se realizó articulación con la embajada de Rusia y el Conservatorio Tchaikovsky, dando lugar a la selección interna -por parte del conservatorio- de candidatos para el </w:t>
            </w:r>
            <w:r w:rsidDel="00000000" w:rsidR="00000000" w:rsidRPr="00000000">
              <w:rPr>
                <w:rtl w:val="0"/>
              </w:rPr>
              <w:t xml:space="preserve">Concurso</w:t>
            </w:r>
            <w:r w:rsidDel="00000000" w:rsidR="00000000" w:rsidRPr="00000000">
              <w:rPr>
                <w:rtl w:val="0"/>
              </w:rPr>
              <w:t xml:space="preserve">.</w:t>
            </w:r>
          </w:p>
          <w:p w:rsidR="00000000" w:rsidDel="00000000" w:rsidP="00000000" w:rsidRDefault="00000000" w:rsidRPr="00000000" w14:paraId="00000088">
            <w:pPr>
              <w:spacing w:before="4" w:line="241" w:lineRule="auto"/>
              <w:ind w:left="112" w:firstLine="0"/>
              <w:jc w:val="both"/>
              <w:rPr/>
            </w:pPr>
            <w:r w:rsidDel="00000000" w:rsidR="00000000" w:rsidRPr="00000000">
              <w:rPr>
                <w:rtl w:val="0"/>
              </w:rPr>
              <w:t xml:space="preserve">En relación con la articulación con la Fundación Bolívar Davivienda se socializa el documento de condiciones de participación y el formulario de inscripción a las clases magistrales con la dirección ejecutiva de la Filarmónica Joven de Colombia; las observaciones recibidas fueron incorporadas en los documentos mencionados. Como parte de esta articulación, la Fundación Bolívar Davivienda reitera su interés en otorgar tiquetes a 10 violinistas provenientes de fuera de Bogotá para su desplazamiento hacia las clases magistrales; previo cumplimiento de los requisitos establecidos por el Concurso.</w:t>
            </w:r>
          </w:p>
          <w:p w:rsidR="00000000" w:rsidDel="00000000" w:rsidP="00000000" w:rsidRDefault="00000000" w:rsidRPr="00000000" w14:paraId="00000089">
            <w:pPr>
              <w:spacing w:before="4" w:line="241" w:lineRule="auto"/>
              <w:ind w:left="112" w:firstLine="0"/>
              <w:jc w:val="both"/>
              <w:rPr/>
            </w:pPr>
            <w:r w:rsidDel="00000000" w:rsidR="00000000" w:rsidRPr="00000000">
              <w:rPr>
                <w:rtl w:val="0"/>
              </w:rPr>
              <w:t xml:space="preserve">En relación con la Fundación Ramírez Moreno: se acompañó el proceso de contratación de los violines que serán entregados en el marco de las clases magistrales.</w:t>
            </w:r>
          </w:p>
        </w:tc>
      </w:tr>
    </w:tbl>
    <w:p w:rsidR="00000000" w:rsidDel="00000000" w:rsidP="00000000" w:rsidRDefault="00000000" w:rsidRPr="00000000" w14:paraId="0000008A">
      <w:pPr>
        <w:pBdr>
          <w:top w:space="0" w:sz="0" w:val="nil"/>
          <w:left w:space="0" w:sz="0" w:val="nil"/>
          <w:bottom w:space="0" w:sz="0" w:val="nil"/>
          <w:right w:space="0" w:sz="0" w:val="nil"/>
          <w:between w:space="0" w:sz="0" w:val="nil"/>
        </w:pBdr>
        <w:spacing w:before="21" w:lineRule="auto"/>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12:</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before="6" w:lineRule="auto"/>
        <w:rPr>
          <w:color w:val="000000"/>
        </w:rPr>
      </w:pPr>
      <w:r w:rsidDel="00000000" w:rsidR="00000000" w:rsidRPr="00000000">
        <w:rPr>
          <w:rtl w:val="0"/>
        </w:rPr>
      </w:r>
    </w:p>
    <w:tbl>
      <w:tblPr>
        <w:tblStyle w:val="Table15"/>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54" w:hRule="atLeast"/>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34"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line="234" w:lineRule="auto"/>
              <w:ind w:left="112" w:firstLine="0"/>
              <w:rPr>
                <w:color w:val="000000"/>
              </w:rPr>
            </w:pPr>
            <w:r w:rsidDel="00000000" w:rsidR="00000000" w:rsidRPr="00000000">
              <w:rPr>
                <w:color w:val="000000"/>
                <w:rtl w:val="0"/>
              </w:rPr>
              <w:t xml:space="preserve">ANÁLISIS DEL CUMPLIMIENTO.</w:t>
            </w:r>
          </w:p>
        </w:tc>
      </w:tr>
      <w:tr>
        <w:trPr>
          <w:cantSplit w:val="0"/>
          <w:trHeight w:val="1516" w:hRule="atLeast"/>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ind w:left="112" w:right="87" w:firstLine="0"/>
              <w:jc w:val="both"/>
              <w:rPr/>
            </w:pPr>
            <w:r w:rsidDel="00000000" w:rsidR="00000000" w:rsidRPr="00000000">
              <w:rPr>
                <w:rtl w:val="0"/>
              </w:rPr>
              <w:t xml:space="preserve">Se brindó apoyo a la difusión en medios especializados, mediante el acompañamiento al proceso de articulación con Bachtrack y Violin Channel, incluyendo asistencia a reuniones, entrevistas, articulación directa con el equipo editorial y revisión de </w:t>
            </w:r>
            <w:r w:rsidDel="00000000" w:rsidR="00000000" w:rsidRPr="00000000">
              <w:rPr>
                <w:rtl w:val="0"/>
              </w:rPr>
              <w:t xml:space="preserve">publicaciones</w:t>
            </w:r>
            <w:r w:rsidDel="00000000" w:rsidR="00000000" w:rsidRPr="00000000">
              <w:rPr>
                <w:rtl w:val="0"/>
              </w:rPr>
              <w:t xml:space="preserve">.</w:t>
            </w:r>
          </w:p>
          <w:p w:rsidR="00000000" w:rsidDel="00000000" w:rsidP="00000000" w:rsidRDefault="00000000" w:rsidRPr="00000000" w14:paraId="00000091">
            <w:pPr>
              <w:pBdr>
                <w:top w:space="0" w:sz="0" w:val="nil"/>
                <w:left w:space="0" w:sz="0" w:val="nil"/>
                <w:bottom w:space="0" w:sz="0" w:val="nil"/>
                <w:right w:space="0" w:sz="0" w:val="nil"/>
                <w:between w:space="0" w:sz="0" w:val="nil"/>
              </w:pBdr>
              <w:ind w:left="112" w:right="87" w:firstLine="0"/>
              <w:jc w:val="both"/>
              <w:rPr/>
            </w:pPr>
            <w:r w:rsidDel="00000000" w:rsidR="00000000" w:rsidRPr="00000000">
              <w:rPr>
                <w:rtl w:val="0"/>
              </w:rPr>
              <w:t xml:space="preserve">La información detallada se encuentra disponible en el siguiente enlace:</w:t>
            </w:r>
            <w:r w:rsidDel="00000000" w:rsidR="00000000" w:rsidRPr="00000000">
              <w:rPr>
                <w:rFonts w:ascii="Roboto" w:cs="Roboto" w:eastAsia="Roboto" w:hAnsi="Roboto"/>
                <w:color w:val="444746"/>
                <w:sz w:val="21"/>
                <w:szCs w:val="21"/>
                <w:highlight w:val="white"/>
                <w:rtl w:val="0"/>
              </w:rPr>
              <w:t xml:space="preserve"> </w:t>
            </w:r>
            <w:hyperlink r:id="rId12">
              <w:r w:rsidDel="00000000" w:rsidR="00000000" w:rsidRPr="00000000">
                <w:rPr>
                  <w:rFonts w:ascii="Roboto" w:cs="Roboto" w:eastAsia="Roboto" w:hAnsi="Roboto"/>
                  <w:color w:val="0b57d0"/>
                  <w:sz w:val="21"/>
                  <w:szCs w:val="21"/>
                  <w:highlight w:val="white"/>
                  <w:rtl w:val="0"/>
                </w:rPr>
                <w:t xml:space="preserve">https://drive.google.com/drive/folders/1S6JYGDGgjdHaHbQSEL8tCw-iETxAe7Q-?usp=drive_link</w:t>
              </w:r>
            </w:hyperlink>
            <w:r w:rsidDel="00000000" w:rsidR="00000000" w:rsidRPr="00000000">
              <w:rPr>
                <w:rtl w:val="0"/>
              </w:rPr>
            </w:r>
          </w:p>
        </w:tc>
      </w:tr>
    </w:tbl>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1" w:lineRule="auto"/>
        <w:ind w:left="264" w:firstLine="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before="1" w:lineRule="auto"/>
        <w:ind w:left="264" w:firstLine="0"/>
        <w:rPr>
          <w:color w:val="000000"/>
        </w:rPr>
      </w:pPr>
      <w:r w:rsidDel="00000000" w:rsidR="00000000" w:rsidRPr="00000000">
        <w:rPr>
          <w:color w:val="000000"/>
          <w:rtl w:val="0"/>
        </w:rPr>
        <w:t xml:space="preserve">OBLIGACIÓN No. 13:</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11" w:lineRule="auto"/>
        <w:rPr>
          <w:color w:val="000000"/>
        </w:rPr>
      </w:pPr>
      <w:r w:rsidDel="00000000" w:rsidR="00000000" w:rsidRPr="00000000">
        <w:rPr>
          <w:rtl w:val="0"/>
        </w:rPr>
      </w:r>
    </w:p>
    <w:tbl>
      <w:tblPr>
        <w:tblStyle w:val="Table16"/>
        <w:tblW w:w="9351.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36"/>
        <w:tblGridChange w:id="0">
          <w:tblGrid>
            <w:gridCol w:w="4815"/>
            <w:gridCol w:w="4536"/>
          </w:tblGrid>
        </w:tblGridChange>
      </w:tblGrid>
      <w:tr>
        <w:trPr>
          <w:cantSplit w:val="0"/>
          <w:trHeight w:val="249" w:hRule="atLeast"/>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29" w:lineRule="auto"/>
              <w:ind w:left="110" w:firstLine="0"/>
              <w:rPr>
                <w:color w:val="000000"/>
              </w:rPr>
            </w:pPr>
            <w:r w:rsidDel="00000000" w:rsidR="00000000" w:rsidRPr="00000000">
              <w:rPr>
                <w:color w:val="000000"/>
                <w:rtl w:val="0"/>
              </w:rPr>
              <w:t xml:space="preserve">DESCRIPCIÓN</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29" w:lineRule="auto"/>
              <w:ind w:left="112" w:firstLine="0"/>
              <w:rPr>
                <w:color w:val="000000"/>
              </w:rPr>
            </w:pPr>
            <w:r w:rsidDel="00000000" w:rsidR="00000000" w:rsidRPr="00000000">
              <w:rPr>
                <w:color w:val="000000"/>
                <w:rtl w:val="0"/>
              </w:rPr>
              <w:t xml:space="preserve">ANÁLISIS DEL CUMPLIMIENTO.</w:t>
            </w:r>
          </w:p>
        </w:tc>
      </w:tr>
      <w:tr>
        <w:trPr>
          <w:cantSplit w:val="0"/>
          <w:trHeight w:val="1440" w:hRule="atLeast"/>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before="4" w:line="235" w:lineRule="auto"/>
              <w:ind w:left="110" w:right="85" w:firstLine="0"/>
              <w:jc w:val="both"/>
              <w:rPr>
                <w:color w:val="000000"/>
              </w:rPr>
            </w:pPr>
            <w:r w:rsidDel="00000000" w:rsidR="00000000" w:rsidRPr="00000000">
              <w:rPr>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t xml:space="preserve">Se realizó seguimiento a la actualización de la página web del Concurso, dando lugar a revisiones y solicitudes de ajuste, en articulación con el equipo de la SCRD.</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42" w:lineRule="auto"/>
              <w:ind w:left="112" w:right="83" w:firstLine="0"/>
              <w:jc w:val="both"/>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42" w:lineRule="auto"/>
              <w:ind w:left="112" w:right="83" w:firstLine="0"/>
              <w:jc w:val="both"/>
              <w:rPr>
                <w:color w:val="000000"/>
              </w:rPr>
            </w:pPr>
            <w:r w:rsidDel="00000000" w:rsidR="00000000" w:rsidRPr="00000000">
              <w:rPr>
                <w:rtl w:val="0"/>
              </w:rPr>
              <w:t xml:space="preserve">Se brindó apoyo a las comunicaciones mediante la participación en las reuniones citadas para el seguimiento a este componente y la redacción y traducción de insumos como: mensajes personalizados, videos, respuestas a mensajes y copies.</w:t>
            </w:r>
            <w:r w:rsidDel="00000000" w:rsidR="00000000" w:rsidRPr="00000000">
              <w:rPr>
                <w:rtl w:val="0"/>
              </w:rPr>
            </w:r>
          </w:p>
        </w:tc>
      </w:tr>
    </w:tbl>
    <w:p w:rsidR="00000000" w:rsidDel="00000000" w:rsidP="00000000" w:rsidRDefault="00000000" w:rsidRPr="00000000" w14:paraId="0000009B">
      <w:pPr>
        <w:pBdr>
          <w:top w:space="0" w:sz="0" w:val="nil"/>
          <w:left w:space="0" w:sz="0" w:val="nil"/>
          <w:bottom w:space="0" w:sz="0" w:val="nil"/>
          <w:right w:space="0" w:sz="0" w:val="nil"/>
          <w:between w:space="0" w:sz="0" w:val="nil"/>
        </w:pBdr>
        <w:spacing w:before="21" w:lineRule="auto"/>
        <w:rPr>
          <w:color w:val="000000"/>
        </w:rPr>
      </w:pPr>
      <w:r w:rsidDel="00000000" w:rsidR="00000000" w:rsidRPr="00000000">
        <w:rPr>
          <w:rtl w:val="0"/>
        </w:rPr>
      </w:r>
    </w:p>
    <w:p w:rsidR="00000000" w:rsidDel="00000000" w:rsidP="00000000" w:rsidRDefault="00000000" w:rsidRPr="00000000" w14:paraId="0000009C">
      <w:pPr>
        <w:pStyle w:val="Heading1"/>
        <w:numPr>
          <w:ilvl w:val="0"/>
          <w:numId w:val="2"/>
        </w:numPr>
        <w:tabs>
          <w:tab w:val="left" w:leader="none" w:pos="622"/>
        </w:tabs>
        <w:ind w:left="622" w:hanging="358"/>
        <w:rPr/>
      </w:pPr>
      <w:r w:rsidDel="00000000" w:rsidR="00000000" w:rsidRPr="00000000">
        <w:rPr>
          <w:rtl w:val="0"/>
        </w:rPr>
        <w:t xml:space="preserve">SEGUIMIENTO A LOS RIESGOS DE LA </w:t>
      </w:r>
      <w:r w:rsidDel="00000000" w:rsidR="00000000" w:rsidRPr="00000000">
        <w:rPr>
          <w:rtl w:val="0"/>
        </w:rPr>
        <w:t xml:space="preserve">CONTRATACIÓN</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before="184" w:line="254" w:lineRule="auto"/>
        <w:ind w:left="264" w:firstLine="0"/>
        <w:jc w:val="both"/>
        <w:rPr>
          <w:color w:val="000000"/>
        </w:rPr>
      </w:pPr>
      <w:r w:rsidDel="00000000" w:rsidR="00000000" w:rsidRPr="00000000">
        <w:rPr>
          <w:color w:val="000000"/>
          <w:rtl w:val="0"/>
        </w:rPr>
        <w:t xml:space="preserve">Conforme la matriz de riesgos definida el comité operativo no ha percibido la posible</w:t>
      </w:r>
      <w:r w:rsidDel="00000000" w:rsidR="00000000" w:rsidRPr="00000000">
        <w:rPr>
          <w:rtl w:val="0"/>
        </w:rPr>
        <w:t xml:space="preserve"> </w:t>
      </w:r>
      <w:r w:rsidDel="00000000" w:rsidR="00000000" w:rsidRPr="00000000">
        <w:rPr>
          <w:color w:val="000000"/>
          <w:rtl w:val="0"/>
        </w:rPr>
        <w:t xml:space="preserve">materialización de alguno de los riesgos, para el proceso de selección se procedió a efectuar el seguimiento de los mismos así:</w:t>
      </w:r>
    </w:p>
    <w:p w:rsidR="00000000" w:rsidDel="00000000" w:rsidP="00000000" w:rsidRDefault="00000000" w:rsidRPr="00000000" w14:paraId="0000009E">
      <w:pPr>
        <w:numPr>
          <w:ilvl w:val="0"/>
          <w:numId w:val="1"/>
        </w:numPr>
        <w:pBdr>
          <w:top w:space="0" w:sz="0" w:val="nil"/>
          <w:left w:space="0" w:sz="0" w:val="nil"/>
          <w:bottom w:space="0" w:sz="0" w:val="nil"/>
          <w:right w:space="0" w:sz="0" w:val="nil"/>
          <w:between w:space="0" w:sz="0" w:val="nil"/>
        </w:pBdr>
        <w:tabs>
          <w:tab w:val="left" w:leader="none" w:pos="562"/>
        </w:tabs>
        <w:spacing w:before="169" w:line="259" w:lineRule="auto"/>
        <w:ind w:left="264" w:right="40" w:firstLine="0"/>
        <w:jc w:val="both"/>
        <w:rPr/>
      </w:pPr>
      <w:r w:rsidDel="00000000" w:rsidR="00000000" w:rsidRPr="00000000">
        <w:rPr>
          <w:color w:val="000000"/>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r w:rsidDel="00000000" w:rsidR="00000000" w:rsidRPr="00000000">
        <w:rPr>
          <w:rtl w:val="0"/>
        </w:rPr>
      </w:r>
    </w:p>
    <w:p w:rsidR="00000000" w:rsidDel="00000000" w:rsidP="00000000" w:rsidRDefault="00000000" w:rsidRPr="00000000" w14:paraId="0000009F">
      <w:pPr>
        <w:numPr>
          <w:ilvl w:val="0"/>
          <w:numId w:val="1"/>
        </w:numPr>
        <w:pBdr>
          <w:top w:space="0" w:sz="0" w:val="nil"/>
          <w:left w:space="0" w:sz="0" w:val="nil"/>
          <w:bottom w:space="0" w:sz="0" w:val="nil"/>
          <w:right w:space="0" w:sz="0" w:val="nil"/>
          <w:between w:space="0" w:sz="0" w:val="nil"/>
        </w:pBdr>
        <w:tabs>
          <w:tab w:val="left" w:leader="none" w:pos="529"/>
        </w:tabs>
        <w:spacing w:before="158" w:line="259" w:lineRule="auto"/>
        <w:ind w:left="264" w:right="38" w:firstLine="0"/>
        <w:jc w:val="both"/>
        <w:rPr/>
      </w:pPr>
      <w:r w:rsidDel="00000000" w:rsidR="00000000" w:rsidRPr="00000000">
        <w:rPr>
          <w:color w:val="000000"/>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r w:rsidDel="00000000" w:rsidR="00000000" w:rsidRPr="00000000">
        <w:rPr>
          <w:rtl w:val="0"/>
        </w:rPr>
      </w:r>
    </w:p>
    <w:p w:rsidR="00000000" w:rsidDel="00000000" w:rsidP="00000000" w:rsidRDefault="00000000" w:rsidRPr="00000000" w14:paraId="000000A0">
      <w:pPr>
        <w:numPr>
          <w:ilvl w:val="0"/>
          <w:numId w:val="1"/>
        </w:numPr>
        <w:pBdr>
          <w:top w:space="0" w:sz="0" w:val="nil"/>
          <w:left w:space="0" w:sz="0" w:val="nil"/>
          <w:bottom w:space="0" w:sz="0" w:val="nil"/>
          <w:right w:space="0" w:sz="0" w:val="nil"/>
          <w:between w:space="0" w:sz="0" w:val="nil"/>
        </w:pBdr>
        <w:tabs>
          <w:tab w:val="left" w:leader="none" w:pos="522"/>
        </w:tabs>
        <w:spacing w:before="158" w:line="259" w:lineRule="auto"/>
        <w:ind w:left="264" w:right="47" w:firstLine="0"/>
        <w:jc w:val="both"/>
        <w:rPr/>
      </w:pPr>
      <w:r w:rsidDel="00000000" w:rsidR="00000000" w:rsidRPr="00000000">
        <w:rPr>
          <w:color w:val="000000"/>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r w:rsidDel="00000000" w:rsidR="00000000" w:rsidRPr="00000000">
        <w:rPr>
          <w:rtl w:val="0"/>
        </w:rPr>
      </w:r>
    </w:p>
    <w:p w:rsidR="00000000" w:rsidDel="00000000" w:rsidP="00000000" w:rsidRDefault="00000000" w:rsidRPr="00000000" w14:paraId="000000A1">
      <w:pPr>
        <w:numPr>
          <w:ilvl w:val="0"/>
          <w:numId w:val="1"/>
        </w:numPr>
        <w:pBdr>
          <w:top w:space="0" w:sz="0" w:val="nil"/>
          <w:left w:space="0" w:sz="0" w:val="nil"/>
          <w:bottom w:space="0" w:sz="0" w:val="nil"/>
          <w:right w:space="0" w:sz="0" w:val="nil"/>
          <w:between w:space="0" w:sz="0" w:val="nil"/>
        </w:pBdr>
        <w:tabs>
          <w:tab w:val="left" w:leader="none" w:pos="531"/>
        </w:tabs>
        <w:spacing w:before="157" w:line="259" w:lineRule="auto"/>
        <w:ind w:left="264" w:right="39" w:firstLine="0"/>
        <w:jc w:val="both"/>
        <w:rPr/>
      </w:pPr>
      <w:r w:rsidDel="00000000" w:rsidR="00000000" w:rsidRPr="00000000">
        <w:rPr>
          <w:color w:val="000000"/>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A2">
      <w:pPr>
        <w:numPr>
          <w:ilvl w:val="0"/>
          <w:numId w:val="1"/>
        </w:numPr>
        <w:pBdr>
          <w:top w:space="0" w:sz="0" w:val="nil"/>
          <w:left w:space="0" w:sz="0" w:val="nil"/>
          <w:bottom w:space="0" w:sz="0" w:val="nil"/>
          <w:right w:space="0" w:sz="0" w:val="nil"/>
          <w:between w:space="0" w:sz="0" w:val="nil"/>
        </w:pBdr>
        <w:tabs>
          <w:tab w:val="left" w:leader="none" w:pos="524"/>
        </w:tabs>
        <w:spacing w:before="163" w:line="259" w:lineRule="auto"/>
        <w:ind w:left="264" w:right="38" w:firstLine="0"/>
        <w:jc w:val="both"/>
        <w:rPr/>
      </w:pPr>
      <w:r w:rsidDel="00000000" w:rsidR="00000000" w:rsidRPr="00000000">
        <w:rPr>
          <w:color w:val="000000"/>
          <w:rtl w:val="0"/>
        </w:rPr>
        <w:t xml:space="preserve">Cambio de las condiciones sociales que pueden conllevar a demoras en el cumplimiento de las obligaciones del convenio o cancelación de los eventos.Se deben acordar 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A3">
      <w:pPr>
        <w:numPr>
          <w:ilvl w:val="0"/>
          <w:numId w:val="1"/>
        </w:numPr>
        <w:pBdr>
          <w:top w:space="0" w:sz="0" w:val="nil"/>
          <w:left w:space="0" w:sz="0" w:val="nil"/>
          <w:bottom w:space="0" w:sz="0" w:val="nil"/>
          <w:right w:space="0" w:sz="0" w:val="nil"/>
          <w:between w:space="0" w:sz="0" w:val="nil"/>
        </w:pBdr>
        <w:tabs>
          <w:tab w:val="left" w:leader="none" w:pos="543"/>
        </w:tabs>
        <w:spacing w:before="157" w:line="254" w:lineRule="auto"/>
        <w:ind w:left="264" w:right="47" w:firstLine="0"/>
        <w:jc w:val="both"/>
        <w:rPr/>
      </w:pPr>
      <w:r w:rsidDel="00000000" w:rsidR="00000000" w:rsidRPr="00000000">
        <w:rPr>
          <w:color w:val="000000"/>
          <w:rtl w:val="0"/>
        </w:rPr>
        <w:t xml:space="preserve">Alteraciones al orden público y condiciones climáticas que pueden llevar a demoras en el cumplimiento de las obligaciones del Convenio o cancelación de los eventos. Se deben acord</w:t>
      </w:r>
      <w:r w:rsidDel="00000000" w:rsidR="00000000" w:rsidRPr="00000000">
        <w:rPr>
          <w:rtl w:val="0"/>
        </w:rPr>
        <w:t xml:space="preserve">ar </w:t>
      </w:r>
      <w:r w:rsidDel="00000000" w:rsidR="00000000" w:rsidRPr="00000000">
        <w:rPr>
          <w:color w:val="000000"/>
          <w:rtl w:val="0"/>
        </w:rPr>
        <w:t xml:space="preserve">las medidas con el Supervisor para implementar las acciones y las estrategias con el fin de que se ejecuten actividades exigidas</w:t>
      </w:r>
      <w:r w:rsidDel="00000000" w:rsidR="00000000" w:rsidRPr="00000000">
        <w:rPr>
          <w:rtl w:val="0"/>
        </w:rPr>
      </w:r>
    </w:p>
    <w:p w:rsidR="00000000" w:rsidDel="00000000" w:rsidP="00000000" w:rsidRDefault="00000000" w:rsidRPr="00000000" w14:paraId="000000A4">
      <w:pPr>
        <w:numPr>
          <w:ilvl w:val="0"/>
          <w:numId w:val="1"/>
        </w:numPr>
        <w:pBdr>
          <w:top w:space="0" w:sz="0" w:val="nil"/>
          <w:left w:space="0" w:sz="0" w:val="nil"/>
          <w:bottom w:space="0" w:sz="0" w:val="nil"/>
          <w:right w:space="0" w:sz="0" w:val="nil"/>
          <w:between w:space="0" w:sz="0" w:val="nil"/>
        </w:pBdr>
        <w:tabs>
          <w:tab w:val="left" w:leader="none" w:pos="529"/>
        </w:tabs>
        <w:spacing w:before="165" w:lineRule="auto"/>
        <w:ind w:left="264" w:right="41" w:firstLine="0"/>
        <w:jc w:val="both"/>
        <w:rPr/>
      </w:pPr>
      <w:r w:rsidDel="00000000" w:rsidR="00000000" w:rsidRPr="00000000">
        <w:rPr>
          <w:color w:val="000000"/>
          <w:rtl w:val="0"/>
        </w:rPr>
        <w:t xml:space="preserve">Falla de equipos logísticos y/o de recurso humano a cargo del Asociado. Que conlleva a la afectación en la ejecución del proyecto, representado en demoras o no cumplimiento de los cronogramas. El Asociado deberá garantizar los requisitos </w:t>
      </w:r>
      <w:r w:rsidDel="00000000" w:rsidR="00000000" w:rsidRPr="00000000">
        <w:rPr>
          <w:rtl w:val="0"/>
        </w:rPr>
        <w:t xml:space="preserve">mínimos</w:t>
      </w:r>
      <w:r w:rsidDel="00000000" w:rsidR="00000000" w:rsidRPr="00000000">
        <w:rPr>
          <w:color w:val="000000"/>
          <w:rtl w:val="0"/>
        </w:rPr>
        <w:t xml:space="preserve"> </w:t>
      </w:r>
      <w:r w:rsidDel="00000000" w:rsidR="00000000" w:rsidRPr="00000000">
        <w:rPr>
          <w:rtl w:val="0"/>
        </w:rPr>
        <w:t xml:space="preserve">logísticos</w:t>
      </w:r>
      <w:r w:rsidDel="00000000" w:rsidR="00000000" w:rsidRPr="00000000">
        <w:rPr>
          <w:color w:val="000000"/>
          <w:rtl w:val="0"/>
        </w:rPr>
        <w:t xml:space="preserve"> y vincular durante toda la ejecución del proyecto al equipo de personal exigido garantizando su permanencia durante todo el proyecto</w:t>
      </w: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before="2" w:lineRule="auto"/>
        <w:rPr>
          <w:color w:val="000000"/>
        </w:rPr>
      </w:pPr>
      <w:r w:rsidDel="00000000" w:rsidR="00000000" w:rsidRPr="00000000">
        <w:rPr>
          <w:rtl w:val="0"/>
        </w:rPr>
      </w:r>
    </w:p>
    <w:p w:rsidR="00000000" w:rsidDel="00000000" w:rsidP="00000000" w:rsidRDefault="00000000" w:rsidRPr="00000000" w14:paraId="000000A6">
      <w:pPr>
        <w:pStyle w:val="Heading1"/>
        <w:numPr>
          <w:ilvl w:val="0"/>
          <w:numId w:val="2"/>
        </w:numPr>
        <w:tabs>
          <w:tab w:val="left" w:leader="none" w:pos="622"/>
        </w:tabs>
        <w:ind w:left="622" w:hanging="358"/>
        <w:rPr/>
      </w:pPr>
      <w:r w:rsidDel="00000000" w:rsidR="00000000" w:rsidRPr="00000000">
        <w:rPr>
          <w:rtl w:val="0"/>
        </w:rPr>
        <w:t xml:space="preserve">GESTIÓN DOCUMENTAL</w:t>
      </w:r>
    </w:p>
    <w:p w:rsidR="00000000" w:rsidDel="00000000" w:rsidP="00000000" w:rsidRDefault="00000000" w:rsidRPr="00000000" w14:paraId="000000A7">
      <w:pPr>
        <w:pBdr>
          <w:top w:space="0" w:sz="0" w:val="nil"/>
          <w:left w:space="0" w:sz="0" w:val="nil"/>
          <w:bottom w:space="0" w:sz="0" w:val="nil"/>
          <w:right w:space="0" w:sz="0" w:val="nil"/>
          <w:between w:space="0" w:sz="0" w:val="nil"/>
        </w:pBdr>
        <w:rPr>
          <w:b w:val="1"/>
          <w:color w:val="000000"/>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ind w:left="264" w:right="41" w:firstLine="0"/>
        <w:jc w:val="both"/>
        <w:rPr>
          <w:color w:val="000000"/>
        </w:rPr>
      </w:pPr>
      <w:r w:rsidDel="00000000" w:rsidR="00000000" w:rsidRPr="00000000">
        <w:rPr>
          <w:color w:val="000000"/>
          <w:rtl w:val="0"/>
        </w:rPr>
        <w:t xml:space="preserve">Se revisó la documentación virtual del expediente contra la física estableciendo que los documentos y evidencias soportes del cumplimiento del contrato, concuerdan y por lo tanto los mismos están completos y son consistentes.</w:t>
      </w:r>
    </w:p>
    <w:p w:rsidR="00000000" w:rsidDel="00000000" w:rsidP="00000000" w:rsidRDefault="00000000" w:rsidRPr="00000000" w14:paraId="000000A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AE">
      <w:pPr>
        <w:pStyle w:val="Heading1"/>
        <w:numPr>
          <w:ilvl w:val="0"/>
          <w:numId w:val="2"/>
        </w:numPr>
        <w:tabs>
          <w:tab w:val="left" w:leader="none" w:pos="826"/>
          <w:tab w:val="left" w:leader="none" w:pos="828"/>
        </w:tabs>
        <w:ind w:left="828" w:right="43" w:hanging="360"/>
        <w:rPr/>
      </w:pPr>
      <w:r w:rsidDel="00000000" w:rsidR="00000000" w:rsidRPr="00000000">
        <w:rPr>
          <w:rtl w:val="0"/>
        </w:rPr>
        <w:t xml:space="preserve">INVENTARIOS: </w:t>
      </w:r>
    </w:p>
    <w:p w:rsidR="00000000" w:rsidDel="00000000" w:rsidP="00000000" w:rsidRDefault="00000000" w:rsidRPr="00000000" w14:paraId="000000AF">
      <w:pPr>
        <w:pStyle w:val="Heading1"/>
        <w:tabs>
          <w:tab w:val="left" w:leader="none" w:pos="826"/>
          <w:tab w:val="left" w:leader="none" w:pos="828"/>
        </w:tabs>
        <w:ind w:left="0" w:right="43" w:firstLine="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rtl w:val="0"/>
        </w:rPr>
        <w:t xml:space="preserve">No</w:t>
      </w:r>
      <w:r w:rsidDel="00000000" w:rsidR="00000000" w:rsidRPr="00000000">
        <w:rPr>
          <w:color w:val="000000"/>
          <w:rtl w:val="0"/>
        </w:rPr>
        <w:t xml:space="preserve"> aplica para este Convenio Interadministrativo</w:t>
      </w:r>
    </w:p>
    <w:p w:rsidR="00000000" w:rsidDel="00000000" w:rsidP="00000000" w:rsidRDefault="00000000" w:rsidRPr="00000000" w14:paraId="000000B1">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before="4" w:lineRule="auto"/>
        <w:rPr>
          <w:color w:val="000000"/>
        </w:rPr>
      </w:pPr>
      <w:r w:rsidDel="00000000" w:rsidR="00000000" w:rsidRPr="00000000">
        <w:rPr>
          <w:rtl w:val="0"/>
        </w:rPr>
      </w:r>
    </w:p>
    <w:p w:rsidR="00000000" w:rsidDel="00000000" w:rsidP="00000000" w:rsidRDefault="00000000" w:rsidRPr="00000000" w14:paraId="000000B3">
      <w:pPr>
        <w:numPr>
          <w:ilvl w:val="0"/>
          <w:numId w:val="2"/>
        </w:numPr>
        <w:pBdr>
          <w:top w:space="0" w:sz="0" w:val="nil"/>
          <w:left w:space="0" w:sz="0" w:val="nil"/>
          <w:bottom w:space="0" w:sz="0" w:val="nil"/>
          <w:right w:space="0" w:sz="0" w:val="nil"/>
          <w:between w:space="0" w:sz="0" w:val="nil"/>
        </w:pBdr>
        <w:tabs>
          <w:tab w:val="left" w:leader="none" w:pos="619"/>
          <w:tab w:val="left" w:leader="none" w:pos="621"/>
        </w:tabs>
        <w:ind w:left="621" w:right="45" w:hanging="360"/>
        <w:jc w:val="both"/>
        <w:rPr/>
      </w:pPr>
      <w:r w:rsidDel="00000000" w:rsidR="00000000" w:rsidRPr="00000000">
        <w:rPr>
          <w:b w:val="1"/>
          <w:color w:val="000000"/>
          <w:rtl w:val="0"/>
        </w:rPr>
        <w:t xml:space="preserve">COMITÉS TÉCNICOS U OPERATIVOS DEL CONTRATO </w:t>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619"/>
          <w:tab w:val="left" w:leader="none" w:pos="621"/>
        </w:tabs>
        <w:ind w:left="624" w:right="45" w:firstLine="0"/>
        <w:jc w:val="both"/>
        <w:rPr>
          <w:b w:val="1"/>
        </w:rPr>
      </w:pPr>
      <w:r w:rsidDel="00000000" w:rsidR="00000000" w:rsidRPr="00000000">
        <w:rPr>
          <w:rtl w:val="0"/>
        </w:rPr>
      </w:r>
    </w:p>
    <w:tbl>
      <w:tblPr>
        <w:tblStyle w:val="Table17"/>
        <w:tblW w:w="8835.0" w:type="dxa"/>
        <w:jc w:val="left"/>
        <w:tblInd w:w="27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2205"/>
        <w:gridCol w:w="3510"/>
        <w:tblGridChange w:id="0">
          <w:tblGrid>
            <w:gridCol w:w="3120"/>
            <w:gridCol w:w="2205"/>
            <w:gridCol w:w="3510"/>
          </w:tblGrid>
        </w:tblGridChange>
      </w:tblGrid>
      <w:tr>
        <w:trPr>
          <w:cantSplit w:val="0"/>
          <w:trHeight w:val="1017" w:hRule="atLeast"/>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ind w:left="371" w:right="126" w:firstLine="206"/>
              <w:rPr>
                <w:b w:val="1"/>
                <w:color w:val="000000"/>
              </w:rPr>
            </w:pPr>
            <w:r w:rsidDel="00000000" w:rsidR="00000000" w:rsidRPr="00000000">
              <w:rPr>
                <w:b w:val="1"/>
                <w:color w:val="000000"/>
                <w:rtl w:val="0"/>
              </w:rPr>
              <w:t xml:space="preserve">ACTAS DE COMITÉS TÉCNICOS OPERATIVOS</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before="2" w:line="288" w:lineRule="auto"/>
              <w:ind w:left="335" w:right="283" w:firstLine="5"/>
              <w:jc w:val="center"/>
              <w:rPr>
                <w:b w:val="1"/>
                <w:color w:val="000000"/>
              </w:rPr>
            </w:pPr>
            <w:r w:rsidDel="00000000" w:rsidR="00000000" w:rsidRPr="00000000">
              <w:rPr>
                <w:b w:val="1"/>
                <w:color w:val="000000"/>
                <w:rtl w:val="0"/>
              </w:rPr>
              <w:t xml:space="preserve">FECHA DE RADICACIÓN ORFEO</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line="227" w:lineRule="auto"/>
              <w:ind w:left="677" w:firstLine="0"/>
              <w:rPr>
                <w:b w:val="1"/>
                <w:color w:val="000000"/>
              </w:rPr>
            </w:pPr>
            <w:r w:rsidDel="00000000" w:rsidR="00000000" w:rsidRPr="00000000">
              <w:rPr>
                <w:b w:val="1"/>
                <w:color w:val="000000"/>
                <w:rtl w:val="0"/>
              </w:rPr>
              <w:t xml:space="preserve">NÚMERO DE RADICACIÓN</w:t>
            </w:r>
          </w:p>
        </w:tc>
      </w:tr>
      <w:tr>
        <w:trPr>
          <w:cantSplit w:val="0"/>
          <w:trHeight w:val="691" w:hRule="atLeast"/>
          <w:tblHeader w:val="0"/>
        </w:trPr>
        <w:tc>
          <w:tcPr/>
          <w:p w:rsidR="00000000" w:rsidDel="00000000" w:rsidP="00000000" w:rsidRDefault="00000000" w:rsidRPr="00000000" w14:paraId="000000B8">
            <w:pPr>
              <w:spacing w:before="2" w:line="288" w:lineRule="auto"/>
              <w:ind w:left="139" w:right="126" w:firstLine="0"/>
              <w:rPr>
                <w:sz w:val="20"/>
                <w:szCs w:val="20"/>
              </w:rPr>
            </w:pPr>
            <w:r w:rsidDel="00000000" w:rsidR="00000000" w:rsidRPr="00000000">
              <w:rPr>
                <w:sz w:val="20"/>
                <w:szCs w:val="20"/>
                <w:rtl w:val="0"/>
              </w:rPr>
              <w:t xml:space="preserve">COMITÉ TÉCNICO OPERATIVO No. 1</w:t>
            </w:r>
          </w:p>
        </w:tc>
        <w:tc>
          <w:tcPr/>
          <w:p w:rsidR="00000000" w:rsidDel="00000000" w:rsidP="00000000" w:rsidRDefault="00000000" w:rsidRPr="00000000" w14:paraId="000000B9">
            <w:pPr>
              <w:spacing w:line="227" w:lineRule="auto"/>
              <w:ind w:left="155" w:firstLine="0"/>
              <w:jc w:val="center"/>
              <w:rPr>
                <w:sz w:val="20"/>
                <w:szCs w:val="20"/>
              </w:rPr>
            </w:pPr>
            <w:r w:rsidDel="00000000" w:rsidR="00000000" w:rsidRPr="00000000">
              <w:rPr>
                <w:sz w:val="20"/>
                <w:szCs w:val="20"/>
                <w:rtl w:val="0"/>
              </w:rPr>
              <w:t xml:space="preserve">05/06/2025</w:t>
            </w:r>
          </w:p>
        </w:tc>
        <w:tc>
          <w:tcPr/>
          <w:p w:rsidR="00000000" w:rsidDel="00000000" w:rsidP="00000000" w:rsidRDefault="00000000" w:rsidRPr="00000000" w14:paraId="000000BA">
            <w:pPr>
              <w:spacing w:line="227" w:lineRule="auto"/>
              <w:ind w:left="151" w:firstLine="0"/>
              <w:rPr>
                <w:sz w:val="20"/>
                <w:szCs w:val="20"/>
              </w:rPr>
            </w:pPr>
            <w:r w:rsidDel="00000000" w:rsidR="00000000" w:rsidRPr="00000000">
              <w:rPr>
                <w:sz w:val="20"/>
                <w:szCs w:val="20"/>
                <w:rtl w:val="0"/>
              </w:rPr>
              <w:t xml:space="preserve">20251000272083</w:t>
            </w:r>
          </w:p>
        </w:tc>
      </w:tr>
      <w:tr>
        <w:trPr>
          <w:cantSplit w:val="0"/>
          <w:trHeight w:val="691" w:hRule="atLeast"/>
          <w:tblHeader w:val="0"/>
        </w:trPr>
        <w:tc>
          <w:tcPr/>
          <w:p w:rsidR="00000000" w:rsidDel="00000000" w:rsidP="00000000" w:rsidRDefault="00000000" w:rsidRPr="00000000" w14:paraId="000000BB">
            <w:pPr>
              <w:spacing w:before="2" w:line="288" w:lineRule="auto"/>
              <w:ind w:left="139" w:right="126" w:firstLine="0"/>
              <w:rPr>
                <w:sz w:val="20"/>
                <w:szCs w:val="20"/>
              </w:rPr>
            </w:pPr>
            <w:r w:rsidDel="00000000" w:rsidR="00000000" w:rsidRPr="00000000">
              <w:rPr>
                <w:sz w:val="20"/>
                <w:szCs w:val="20"/>
                <w:rtl w:val="0"/>
              </w:rPr>
              <w:t xml:space="preserve">COMITÉ TÉCNICO OPERATIVO No. 2</w:t>
            </w:r>
          </w:p>
        </w:tc>
        <w:tc>
          <w:tcPr/>
          <w:p w:rsidR="00000000" w:rsidDel="00000000" w:rsidP="00000000" w:rsidRDefault="00000000" w:rsidRPr="00000000" w14:paraId="000000BC">
            <w:pPr>
              <w:spacing w:line="227" w:lineRule="auto"/>
              <w:ind w:left="155" w:firstLine="0"/>
              <w:jc w:val="center"/>
              <w:rPr>
                <w:sz w:val="20"/>
                <w:szCs w:val="20"/>
              </w:rPr>
            </w:pPr>
            <w:r w:rsidDel="00000000" w:rsidR="00000000" w:rsidRPr="00000000">
              <w:rPr>
                <w:sz w:val="20"/>
                <w:szCs w:val="20"/>
                <w:rtl w:val="0"/>
              </w:rPr>
              <w:t xml:space="preserve">14/05/2025</w:t>
            </w:r>
          </w:p>
        </w:tc>
        <w:tc>
          <w:tcPr/>
          <w:p w:rsidR="00000000" w:rsidDel="00000000" w:rsidP="00000000" w:rsidRDefault="00000000" w:rsidRPr="00000000" w14:paraId="000000BD">
            <w:pPr>
              <w:spacing w:line="227" w:lineRule="auto"/>
              <w:ind w:left="151" w:firstLine="0"/>
              <w:rPr>
                <w:sz w:val="20"/>
                <w:szCs w:val="20"/>
              </w:rPr>
            </w:pPr>
            <w:r w:rsidDel="00000000" w:rsidR="00000000" w:rsidRPr="00000000">
              <w:rPr>
                <w:sz w:val="20"/>
                <w:szCs w:val="20"/>
                <w:rtl w:val="0"/>
              </w:rPr>
              <w:t xml:space="preserve">20251000230393</w:t>
            </w:r>
          </w:p>
        </w:tc>
      </w:tr>
      <w:tr>
        <w:trPr>
          <w:cantSplit w:val="0"/>
          <w:trHeight w:val="691" w:hRule="atLeast"/>
          <w:tblHeader w:val="0"/>
        </w:trPr>
        <w:tc>
          <w:tcPr/>
          <w:p w:rsidR="00000000" w:rsidDel="00000000" w:rsidP="00000000" w:rsidRDefault="00000000" w:rsidRPr="00000000" w14:paraId="000000BE">
            <w:pPr>
              <w:spacing w:before="2" w:line="288" w:lineRule="auto"/>
              <w:ind w:left="139" w:right="126" w:firstLine="0"/>
              <w:rPr>
                <w:sz w:val="20"/>
                <w:szCs w:val="20"/>
              </w:rPr>
            </w:pPr>
            <w:r w:rsidDel="00000000" w:rsidR="00000000" w:rsidRPr="00000000">
              <w:rPr>
                <w:sz w:val="20"/>
                <w:szCs w:val="20"/>
                <w:rtl w:val="0"/>
              </w:rPr>
              <w:t xml:space="preserve">COMITÉ TÉCNICO OPERATIVO No. 3</w:t>
            </w:r>
          </w:p>
        </w:tc>
        <w:tc>
          <w:tcPr/>
          <w:p w:rsidR="00000000" w:rsidDel="00000000" w:rsidP="00000000" w:rsidRDefault="00000000" w:rsidRPr="00000000" w14:paraId="000000BF">
            <w:pPr>
              <w:spacing w:line="227" w:lineRule="auto"/>
              <w:ind w:left="155" w:firstLine="0"/>
              <w:jc w:val="center"/>
              <w:rPr>
                <w:sz w:val="20"/>
                <w:szCs w:val="20"/>
              </w:rPr>
            </w:pPr>
            <w:r w:rsidDel="00000000" w:rsidR="00000000" w:rsidRPr="00000000">
              <w:rPr>
                <w:sz w:val="20"/>
                <w:szCs w:val="20"/>
                <w:rtl w:val="0"/>
              </w:rPr>
              <w:t xml:space="preserve">14/05/2025</w:t>
            </w:r>
          </w:p>
        </w:tc>
        <w:tc>
          <w:tcPr/>
          <w:p w:rsidR="00000000" w:rsidDel="00000000" w:rsidP="00000000" w:rsidRDefault="00000000" w:rsidRPr="00000000" w14:paraId="000000C0">
            <w:pPr>
              <w:spacing w:line="227" w:lineRule="auto"/>
              <w:ind w:left="151" w:firstLine="0"/>
              <w:rPr>
                <w:sz w:val="20"/>
                <w:szCs w:val="20"/>
              </w:rPr>
            </w:pPr>
            <w:r w:rsidDel="00000000" w:rsidR="00000000" w:rsidRPr="00000000">
              <w:rPr>
                <w:sz w:val="20"/>
                <w:szCs w:val="20"/>
                <w:rtl w:val="0"/>
              </w:rPr>
              <w:t xml:space="preserve">20251000230453</w:t>
            </w:r>
          </w:p>
        </w:tc>
      </w:tr>
      <w:tr>
        <w:trPr>
          <w:cantSplit w:val="0"/>
          <w:trHeight w:val="691" w:hRule="atLeast"/>
          <w:tblHeader w:val="0"/>
        </w:trPr>
        <w:tc>
          <w:tcPr/>
          <w:p w:rsidR="00000000" w:rsidDel="00000000" w:rsidP="00000000" w:rsidRDefault="00000000" w:rsidRPr="00000000" w14:paraId="000000C1">
            <w:pPr>
              <w:spacing w:before="2" w:line="288" w:lineRule="auto"/>
              <w:ind w:left="139" w:right="126" w:firstLine="0"/>
              <w:rPr>
                <w:sz w:val="20"/>
                <w:szCs w:val="20"/>
              </w:rPr>
            </w:pPr>
            <w:r w:rsidDel="00000000" w:rsidR="00000000" w:rsidRPr="00000000">
              <w:rPr>
                <w:sz w:val="20"/>
                <w:szCs w:val="20"/>
                <w:rtl w:val="0"/>
              </w:rPr>
              <w:t xml:space="preserve">COMITÉ TÉCNICO OPERATIVO ASINCRÓNICO No. 4</w:t>
            </w:r>
          </w:p>
        </w:tc>
        <w:tc>
          <w:tcPr/>
          <w:p w:rsidR="00000000" w:rsidDel="00000000" w:rsidP="00000000" w:rsidRDefault="00000000" w:rsidRPr="00000000" w14:paraId="000000C2">
            <w:pPr>
              <w:spacing w:line="227" w:lineRule="auto"/>
              <w:ind w:left="155" w:firstLine="0"/>
              <w:jc w:val="center"/>
              <w:rPr>
                <w:sz w:val="20"/>
                <w:szCs w:val="20"/>
              </w:rPr>
            </w:pPr>
            <w:r w:rsidDel="00000000" w:rsidR="00000000" w:rsidRPr="00000000">
              <w:rPr>
                <w:sz w:val="20"/>
                <w:szCs w:val="20"/>
                <w:rtl w:val="0"/>
              </w:rPr>
              <w:t xml:space="preserve">14/05/2025</w:t>
            </w:r>
          </w:p>
        </w:tc>
        <w:tc>
          <w:tcPr/>
          <w:p w:rsidR="00000000" w:rsidDel="00000000" w:rsidP="00000000" w:rsidRDefault="00000000" w:rsidRPr="00000000" w14:paraId="000000C3">
            <w:pPr>
              <w:spacing w:line="227" w:lineRule="auto"/>
              <w:ind w:left="151" w:firstLine="0"/>
              <w:rPr>
                <w:sz w:val="20"/>
                <w:szCs w:val="20"/>
              </w:rPr>
            </w:pPr>
            <w:r w:rsidDel="00000000" w:rsidR="00000000" w:rsidRPr="00000000">
              <w:rPr>
                <w:sz w:val="20"/>
                <w:szCs w:val="20"/>
                <w:rtl w:val="0"/>
              </w:rPr>
              <w:t xml:space="preserve">20251000230533</w:t>
            </w:r>
          </w:p>
        </w:tc>
      </w:tr>
    </w:tbl>
    <w:p w:rsidR="00000000" w:rsidDel="00000000" w:rsidP="00000000" w:rsidRDefault="00000000" w:rsidRPr="00000000" w14:paraId="000000C4">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5">
      <w:pPr>
        <w:ind w:left="264" w:firstLine="0"/>
        <w:jc w:val="both"/>
        <w:rPr>
          <w:color w:val="000000"/>
        </w:rPr>
      </w:pPr>
      <w:r w:rsidDel="00000000" w:rsidR="00000000" w:rsidRPr="00000000">
        <w:rPr>
          <w:b w:val="1"/>
          <w:rtl w:val="0"/>
        </w:rPr>
        <w:t xml:space="preserve">COMITÉS DE OBRA DEL CONTRATO </w:t>
      </w:r>
      <w:r w:rsidDel="00000000" w:rsidR="00000000" w:rsidRPr="00000000">
        <w:rPr>
          <w:rtl w:val="0"/>
        </w:rPr>
        <w:t xml:space="preserve">(CUANDO EL CONTRATO SEA DE OBRA, SE No aplica </w:t>
      </w:r>
      <w:r w:rsidDel="00000000" w:rsidR="00000000" w:rsidRPr="00000000">
        <w:rPr>
          <w:color w:val="000000"/>
          <w:rtl w:val="0"/>
        </w:rPr>
        <w:t xml:space="preserve">para este Convenio Interadministrativo)</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before="249" w:lineRule="auto"/>
        <w:ind w:left="264" w:firstLine="0"/>
        <w:jc w:val="both"/>
        <w:rPr>
          <w:color w:val="000000"/>
        </w:rPr>
      </w:pPr>
      <w:r w:rsidDel="00000000" w:rsidR="00000000" w:rsidRPr="00000000">
        <w:rPr>
          <w:color w:val="000000"/>
          <w:rtl w:val="0"/>
        </w:rPr>
        <w:t xml:space="preserve">No aplica para este Convenio Interadministrativo</w:t>
      </w:r>
    </w:p>
    <w:p w:rsidR="00000000" w:rsidDel="00000000" w:rsidP="00000000" w:rsidRDefault="00000000" w:rsidRPr="00000000" w14:paraId="000000C7">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8">
      <w:pPr>
        <w:pStyle w:val="Heading1"/>
        <w:numPr>
          <w:ilvl w:val="0"/>
          <w:numId w:val="2"/>
        </w:numPr>
        <w:tabs>
          <w:tab w:val="left" w:leader="none" w:pos="622"/>
        </w:tabs>
        <w:ind w:left="622" w:hanging="358"/>
        <w:rPr/>
      </w:pPr>
      <w:r w:rsidDel="00000000" w:rsidR="00000000" w:rsidRPr="00000000">
        <w:rPr>
          <w:rtl w:val="0"/>
        </w:rPr>
        <w:t xml:space="preserve">CONCLUSIONES</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59" w:lineRule="auto"/>
        <w:ind w:left="264" w:right="39" w:firstLine="0"/>
        <w:jc w:val="both"/>
        <w:rPr>
          <w:b w:val="1"/>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line="259" w:lineRule="auto"/>
        <w:ind w:left="264" w:right="39" w:firstLine="0"/>
        <w:jc w:val="both"/>
        <w:rPr>
          <w:color w:val="000000"/>
        </w:rPr>
      </w:pPr>
      <w:r w:rsidDel="00000000" w:rsidR="00000000" w:rsidRPr="00000000">
        <w:rPr>
          <w:color w:val="000000"/>
          <w:rtl w:val="0"/>
        </w:rPr>
        <w:t xml:space="preserve">Una vez analizados los soportes presentados por el contratista, esta supervisión certifica el cumplimiento por parte de la </w:t>
      </w:r>
      <w:r w:rsidDel="00000000" w:rsidR="00000000" w:rsidRPr="00000000">
        <w:rPr>
          <w:rtl w:val="0"/>
        </w:rPr>
        <w:t xml:space="preserve">Asociación Nacional de Música Sinfónica</w:t>
      </w:r>
      <w:r w:rsidDel="00000000" w:rsidR="00000000" w:rsidRPr="00000000">
        <w:rPr>
          <w:color w:val="000000"/>
          <w:rtl w:val="0"/>
        </w:rPr>
        <w:t xml:space="preserve"> del objeto y de cada una de las obligaciones previstas en el Convenio de Asociación No. </w:t>
      </w:r>
      <w:r w:rsidDel="00000000" w:rsidR="00000000" w:rsidRPr="00000000">
        <w:rPr>
          <w:rtl w:val="0"/>
        </w:rPr>
        <w:t xml:space="preserve">768</w:t>
      </w:r>
      <w:r w:rsidDel="00000000" w:rsidR="00000000" w:rsidRPr="00000000">
        <w:rPr>
          <w:color w:val="000000"/>
          <w:rtl w:val="0"/>
        </w:rPr>
        <w:t xml:space="preserve"> de 2024.</w:t>
      </w:r>
    </w:p>
    <w:p w:rsidR="00000000" w:rsidDel="00000000" w:rsidP="00000000" w:rsidRDefault="00000000" w:rsidRPr="00000000" w14:paraId="000000CB">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before="49" w:lineRule="auto"/>
        <w:rPr>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Nombre: </w:t>
      </w:r>
      <w:r w:rsidDel="00000000" w:rsidR="00000000" w:rsidRPr="00000000">
        <w:rPr>
          <w:rtl w:val="0"/>
        </w:rPr>
        <w:t xml:space="preserve">NATALIA SEFAIR LÓPEZ</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line="250" w:lineRule="auto"/>
        <w:ind w:left="264" w:firstLine="0"/>
        <w:rPr>
          <w:color w:val="000000"/>
        </w:rPr>
      </w:pPr>
      <w:r w:rsidDel="00000000" w:rsidR="00000000" w:rsidRPr="00000000">
        <w:rPr>
          <w:color w:val="000000"/>
          <w:rtl w:val="0"/>
        </w:rPr>
        <w:t xml:space="preserve">Fecha de expedición: 30</w:t>
      </w:r>
      <w:r w:rsidDel="00000000" w:rsidR="00000000" w:rsidRPr="00000000">
        <w:rPr>
          <w:rtl w:val="0"/>
        </w:rPr>
        <w:t xml:space="preserve">/04/2025</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before="4" w:lineRule="auto"/>
        <w:ind w:left="264" w:firstLine="0"/>
        <w:rPr>
          <w:color w:val="000000"/>
        </w:rPr>
      </w:pPr>
      <w:r w:rsidDel="00000000" w:rsidR="00000000" w:rsidRPr="00000000">
        <w:rPr>
          <w:color w:val="000000"/>
          <w:rtl w:val="0"/>
        </w:rPr>
        <w:t xml:space="preserve">Radicado(s) sobre designación de supervisión.</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before="4" w:lineRule="auto"/>
        <w:ind w:left="264" w:firstLine="0"/>
        <w:rPr/>
      </w:pPr>
      <w:r w:rsidDel="00000000" w:rsidR="00000000" w:rsidRPr="00000000">
        <w:rPr>
          <w:rtl w:val="0"/>
        </w:rPr>
        <w:t xml:space="preserve">20242000508353</w:t>
      </w:r>
    </w:p>
    <w:sectPr>
      <w:type w:val="nextPage"/>
      <w:pgSz w:h="15840" w:w="12240" w:orient="portrait"/>
      <w:pgMar w:bottom="280" w:top="3040" w:left="1440" w:right="1080" w:header="1022"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tl w:val="0"/>
      </w:rPr>
    </w:r>
  </w:p>
  <w:tbl>
    <w:tblPr>
      <w:tblStyle w:val="Table18"/>
      <w:tblW w:w="9357.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25"/>
      <w:gridCol w:w="4736"/>
      <w:gridCol w:w="2696"/>
      <w:tblGridChange w:id="0">
        <w:tblGrid>
          <w:gridCol w:w="1925"/>
          <w:gridCol w:w="4736"/>
          <w:gridCol w:w="2696"/>
        </w:tblGrid>
      </w:tblGridChange>
    </w:tblGrid>
    <w:tr>
      <w:trPr>
        <w:cantSplit w:val="0"/>
        <w:trHeight w:val="544" w:hRule="atLeast"/>
        <w:tblHeader w:val="0"/>
      </w:trPr>
      <w:tc>
        <w:tcPr>
          <w:vMerge w:val="restart"/>
          <w:tcBorders>
            <w:bottom w:color="000000" w:space="0" w:sz="0" w:val="nil"/>
          </w:tcBorders>
        </w:tcPr>
        <w:p w:rsidR="00000000" w:rsidDel="00000000" w:rsidP="00000000" w:rsidRDefault="00000000" w:rsidRPr="00000000" w14:paraId="000000D4">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before="55" w:lineRule="auto"/>
            <w:ind w:left="1000"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GESTIÓN CONTRACTUAL</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before="55" w:lineRule="auto"/>
            <w:ind w:left="59" w:firstLine="0"/>
            <w:rPr>
              <w:rFonts w:ascii="Times New Roman" w:cs="Times New Roman" w:eastAsia="Times New Roman" w:hAnsi="Times New Roman"/>
              <w:color w:val="000000"/>
              <w:sz w:val="18"/>
              <w:szCs w:val="18"/>
            </w:rPr>
          </w:pPr>
          <w:r w:rsidDel="00000000" w:rsidR="00000000" w:rsidRPr="00000000">
            <w:rPr>
              <w:rFonts w:ascii="Arial" w:cs="Arial" w:eastAsia="Arial" w:hAnsi="Arial"/>
              <w:color w:val="000000"/>
              <w:sz w:val="16"/>
              <w:szCs w:val="16"/>
              <w:rtl w:val="0"/>
            </w:rPr>
            <w:t xml:space="preserve">CÓDIGO: </w:t>
          </w:r>
          <w:r w:rsidDel="00000000" w:rsidR="00000000" w:rsidRPr="00000000">
            <w:rPr>
              <w:rFonts w:ascii="Times New Roman" w:cs="Times New Roman" w:eastAsia="Times New Roman" w:hAnsi="Times New Roman"/>
              <w:color w:val="000000"/>
              <w:sz w:val="18"/>
              <w:szCs w:val="18"/>
              <w:rtl w:val="0"/>
            </w:rPr>
            <w:t xml:space="preserve">CON-PR-02-FR-01</w:t>
          </w:r>
        </w:p>
      </w:tc>
    </w:tr>
    <w:tr>
      <w:trPr>
        <w:cantSplit w:val="0"/>
        <w:trHeight w:val="477" w:hRule="atLeast"/>
        <w:tblHeader w:val="0"/>
      </w:trPr>
      <w:tc>
        <w:tcPr>
          <w:vMerge w:val="continue"/>
          <w:tcBorders>
            <w:bottom w:color="000000" w:space="0" w:sz="0" w:val="nil"/>
          </w:tcBorders>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18"/>
              <w:szCs w:val="18"/>
            </w:rPr>
          </w:pPr>
          <w:r w:rsidDel="00000000" w:rsidR="00000000" w:rsidRPr="00000000">
            <w:rPr>
              <w:rtl w:val="0"/>
            </w:rPr>
          </w:r>
        </w:p>
      </w:tc>
      <w:tc>
        <w:tcPr>
          <w:vMerge w:val="restart"/>
          <w:tcBorders>
            <w:bottom w:color="000000" w:space="0" w:sz="0" w:val="nil"/>
          </w:tcBorders>
        </w:tcPr>
        <w:p w:rsidR="00000000" w:rsidDel="00000000" w:rsidP="00000000" w:rsidRDefault="00000000" w:rsidRPr="00000000" w14:paraId="000000D8">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before="38"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ind w:left="763"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INFORME DE SUPERVISIÓN</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before="53" w:lineRule="auto"/>
            <w:ind w:left="5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1</w:t>
          </w:r>
        </w:p>
      </w:tc>
    </w:tr>
    <w:tr>
      <w:trPr>
        <w:cantSplit w:val="0"/>
        <w:trHeight w:val="489" w:hRule="atLeast"/>
        <w:tblHeader w:val="0"/>
      </w:trPr>
      <w:tc>
        <w:tcPr>
          <w:vMerge w:val="continue"/>
          <w:tcBorders>
            <w:bottom w:color="000000" w:space="0" w:sz="0" w:val="nil"/>
          </w:tcBorders>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before="56" w:lineRule="auto"/>
            <w:ind w:left="5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FECHA:10/07/2024</w:t>
          </w:r>
        </w:p>
      </w:tc>
    </w:tr>
    <w:tr>
      <w:trPr>
        <w:cantSplit w:val="0"/>
        <w:trHeight w:val="470" w:hRule="atLeast"/>
        <w:tblHeader w:val="0"/>
      </w:trPr>
      <w:tc>
        <w:tcPr>
          <w:vMerge w:val="continue"/>
          <w:tcBorders>
            <w:bottom w:color="000000" w:space="0" w:sz="0" w:val="nil"/>
          </w:tcBorders>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tcBorders>
            <w:bottom w:color="000000" w:space="0" w:sz="0" w:val="nil"/>
          </w:tcBorders>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before="56" w:lineRule="auto"/>
            <w:ind w:left="59" w:firstLine="0"/>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HOJA: 1</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before="56" w:lineRule="auto"/>
            <w:ind w:left="59" w:firstLine="0"/>
            <w:rPr>
              <w:sz w:val="16"/>
              <w:szCs w:val="16"/>
            </w:rPr>
          </w:pPr>
          <w:r w:rsidDel="00000000" w:rsidR="00000000" w:rsidRPr="00000000">
            <w:rPr>
              <w:rtl w:val="0"/>
            </w:rPr>
          </w:r>
        </w:p>
      </w:tc>
    </w:tr>
  </w:tbl>
  <w:p w:rsidR="00000000" w:rsidDel="00000000" w:rsidP="00000000" w:rsidRDefault="00000000" w:rsidRPr="00000000" w14:paraId="000000E3">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w:drawing>
        <wp:anchor allowOverlap="1" behindDoc="1" distB="0" distT="0" distL="0" distR="0" hidden="0" layoutInCell="1" locked="0" relativeHeight="0" simplePos="0">
          <wp:simplePos x="0" y="0"/>
          <wp:positionH relativeFrom="page">
            <wp:posOffset>1357630</wp:posOffset>
          </wp:positionH>
          <wp:positionV relativeFrom="page">
            <wp:posOffset>699134</wp:posOffset>
          </wp:positionV>
          <wp:extent cx="604266" cy="662304"/>
          <wp:effectExtent b="0" l="0" r="0" t="0"/>
          <wp:wrapNone/>
          <wp:docPr id="1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604266" cy="662304"/>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64" w:hanging="300"/>
      </w:pPr>
      <w:rPr>
        <w:rFonts w:ascii="Arial" w:cs="Arial" w:eastAsia="Arial" w:hAnsi="Arial"/>
        <w:b w:val="0"/>
        <w:i w:val="0"/>
        <w:sz w:val="22"/>
        <w:szCs w:val="22"/>
      </w:rPr>
    </w:lvl>
    <w:lvl w:ilvl="1">
      <w:start w:val="0"/>
      <w:numFmt w:val="bullet"/>
      <w:lvlText w:val="•"/>
      <w:lvlJc w:val="left"/>
      <w:pPr>
        <w:ind w:left="1206" w:hanging="300"/>
      </w:pPr>
      <w:rPr/>
    </w:lvl>
    <w:lvl w:ilvl="2">
      <w:start w:val="0"/>
      <w:numFmt w:val="bullet"/>
      <w:lvlText w:val="•"/>
      <w:lvlJc w:val="left"/>
      <w:pPr>
        <w:ind w:left="2152" w:hanging="300"/>
      </w:pPr>
      <w:rPr/>
    </w:lvl>
    <w:lvl w:ilvl="3">
      <w:start w:val="0"/>
      <w:numFmt w:val="bullet"/>
      <w:lvlText w:val="•"/>
      <w:lvlJc w:val="left"/>
      <w:pPr>
        <w:ind w:left="3098" w:hanging="300"/>
      </w:pPr>
      <w:rPr/>
    </w:lvl>
    <w:lvl w:ilvl="4">
      <w:start w:val="0"/>
      <w:numFmt w:val="bullet"/>
      <w:lvlText w:val="•"/>
      <w:lvlJc w:val="left"/>
      <w:pPr>
        <w:ind w:left="4044" w:hanging="300"/>
      </w:pPr>
      <w:rPr/>
    </w:lvl>
    <w:lvl w:ilvl="5">
      <w:start w:val="0"/>
      <w:numFmt w:val="bullet"/>
      <w:lvlText w:val="•"/>
      <w:lvlJc w:val="left"/>
      <w:pPr>
        <w:ind w:left="4990" w:hanging="300"/>
      </w:pPr>
      <w:rPr/>
    </w:lvl>
    <w:lvl w:ilvl="6">
      <w:start w:val="0"/>
      <w:numFmt w:val="bullet"/>
      <w:lvlText w:val="•"/>
      <w:lvlJc w:val="left"/>
      <w:pPr>
        <w:ind w:left="5936" w:hanging="300"/>
      </w:pPr>
      <w:rPr/>
    </w:lvl>
    <w:lvl w:ilvl="7">
      <w:start w:val="0"/>
      <w:numFmt w:val="bullet"/>
      <w:lvlText w:val="•"/>
      <w:lvlJc w:val="left"/>
      <w:pPr>
        <w:ind w:left="6882" w:hanging="300"/>
      </w:pPr>
      <w:rPr/>
    </w:lvl>
    <w:lvl w:ilvl="8">
      <w:start w:val="0"/>
      <w:numFmt w:val="bullet"/>
      <w:lvlText w:val="•"/>
      <w:lvlJc w:val="left"/>
      <w:pPr>
        <w:ind w:left="7828" w:hanging="300"/>
      </w:pPr>
      <w:rPr/>
    </w:lvl>
  </w:abstractNum>
  <w:abstractNum w:abstractNumId="2">
    <w:lvl w:ilvl="0">
      <w:start w:val="1"/>
      <w:numFmt w:val="decimal"/>
      <w:lvlText w:val="%1."/>
      <w:lvlJc w:val="left"/>
      <w:pPr>
        <w:ind w:left="624" w:hanging="360"/>
      </w:pPr>
      <w:rPr>
        <w:rFonts w:ascii="Arial" w:cs="Arial" w:eastAsia="Arial" w:hAnsi="Arial"/>
        <w:b w:val="1"/>
        <w:i w:val="0"/>
        <w:sz w:val="22"/>
        <w:szCs w:val="22"/>
      </w:rPr>
    </w:lvl>
    <w:lvl w:ilvl="1">
      <w:start w:val="1"/>
      <w:numFmt w:val="decimal"/>
      <w:lvlText w:val="%2."/>
      <w:lvlJc w:val="left"/>
      <w:pPr>
        <w:ind w:left="1094" w:hanging="360"/>
      </w:pPr>
      <w:rPr>
        <w:rFonts w:ascii="Arial" w:cs="Arial" w:eastAsia="Arial" w:hAnsi="Arial"/>
        <w:b w:val="0"/>
        <w:i w:val="0"/>
        <w:sz w:val="22"/>
        <w:szCs w:val="22"/>
      </w:rPr>
    </w:lvl>
    <w:lvl w:ilvl="2">
      <w:start w:val="0"/>
      <w:numFmt w:val="bullet"/>
      <w:lvlText w:val="•"/>
      <w:lvlJc w:val="left"/>
      <w:pPr>
        <w:ind w:left="2057" w:hanging="360"/>
      </w:pPr>
      <w:rPr/>
    </w:lvl>
    <w:lvl w:ilvl="3">
      <w:start w:val="0"/>
      <w:numFmt w:val="bullet"/>
      <w:lvlText w:val="•"/>
      <w:lvlJc w:val="left"/>
      <w:pPr>
        <w:ind w:left="3015" w:hanging="360"/>
      </w:pPr>
      <w:rPr/>
    </w:lvl>
    <w:lvl w:ilvl="4">
      <w:start w:val="0"/>
      <w:numFmt w:val="bullet"/>
      <w:lvlText w:val="•"/>
      <w:lvlJc w:val="left"/>
      <w:pPr>
        <w:ind w:left="3973" w:hanging="360"/>
      </w:pPr>
      <w:rPr/>
    </w:lvl>
    <w:lvl w:ilvl="5">
      <w:start w:val="0"/>
      <w:numFmt w:val="bullet"/>
      <w:lvlText w:val="•"/>
      <w:lvlJc w:val="left"/>
      <w:pPr>
        <w:ind w:left="4931" w:hanging="360"/>
      </w:pPr>
      <w:rPr/>
    </w:lvl>
    <w:lvl w:ilvl="6">
      <w:start w:val="0"/>
      <w:numFmt w:val="bullet"/>
      <w:lvlText w:val="•"/>
      <w:lvlJc w:val="left"/>
      <w:pPr>
        <w:ind w:left="5888" w:hanging="360"/>
      </w:pPr>
      <w:rPr/>
    </w:lvl>
    <w:lvl w:ilvl="7">
      <w:start w:val="0"/>
      <w:numFmt w:val="bullet"/>
      <w:lvlText w:val="•"/>
      <w:lvlJc w:val="left"/>
      <w:pPr>
        <w:ind w:left="6846" w:hanging="360"/>
      </w:pPr>
      <w:rPr/>
    </w:lvl>
    <w:lvl w:ilvl="8">
      <w:start w:val="0"/>
      <w:numFmt w:val="bullet"/>
      <w:lvlText w:val="•"/>
      <w:lvlJc w:val="left"/>
      <w:pPr>
        <w:ind w:left="7804"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622" w:hanging="358"/>
      <w:jc w:val="both"/>
    </w:pPr>
    <w:rPr>
      <w:rFonts w:ascii="Arial" w:cs="Arial" w:eastAsia="Arial" w:hAnsi="Arial"/>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Arial MT" w:cs="Arial MT" w:eastAsia="Arial MT" w:hAnsi="Arial MT"/>
    </w:rPr>
  </w:style>
  <w:style w:type="paragraph" w:styleId="Ttulo1">
    <w:name w:val="heading 1"/>
    <w:basedOn w:val="Normal"/>
    <w:uiPriority w:val="9"/>
    <w:qFormat w:val="1"/>
    <w:pPr>
      <w:ind w:left="622" w:hanging="358"/>
      <w:jc w:val="both"/>
      <w:outlineLvl w:val="0"/>
    </w:pPr>
    <w:rPr>
      <w:rFonts w:ascii="Arial" w:cs="Arial" w:eastAsia="Arial" w:hAnsi="Arial"/>
      <w:b w:val="1"/>
      <w:bCs w:val="1"/>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1"/>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pPr>
      <w:ind w:left="264" w:hanging="360"/>
      <w:jc w:val="both"/>
    </w:pPr>
  </w:style>
  <w:style w:type="paragraph" w:styleId="TableParagraph" w:customStyle="1">
    <w:name w:val="Table Paragraph"/>
    <w:basedOn w:val="Normal"/>
    <w:uiPriority w:val="1"/>
    <w:qFormat w:val="1"/>
    <w:pPr>
      <w:ind w:left="110"/>
    </w:p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anormal"/>
    <w:tblPr>
      <w:tblStyleRowBandSize w:val="1"/>
      <w:tblStyleColBandSize w:val="1"/>
      <w:tblCellMar>
        <w:left w:w="0.0" w:type="dxa"/>
        <w:right w:w="0.0" w:type="dxa"/>
      </w:tblCellMar>
    </w:tblPr>
  </w:style>
  <w:style w:type="table" w:styleId="a0" w:customStyle="1">
    <w:basedOn w:val="Tablanormal"/>
    <w:tblPr>
      <w:tblStyleRowBandSize w:val="1"/>
      <w:tblStyleColBandSize w:val="1"/>
      <w:tblCellMar>
        <w:left w:w="0.0" w:type="dxa"/>
        <w:right w:w="0.0" w:type="dxa"/>
      </w:tblCellMar>
    </w:tblPr>
  </w:style>
  <w:style w:type="table" w:styleId="a1" w:customStyle="1">
    <w:basedOn w:val="Tablanormal"/>
    <w:tblPr>
      <w:tblStyleRowBandSize w:val="1"/>
      <w:tblStyleColBandSize w:val="1"/>
      <w:tblCellMar>
        <w:left w:w="0.0" w:type="dxa"/>
        <w:right w:w="0.0" w:type="dxa"/>
      </w:tblCellMar>
    </w:tblPr>
  </w:style>
  <w:style w:type="table" w:styleId="a2" w:customStyle="1">
    <w:basedOn w:val="Tablanormal"/>
    <w:tblPr>
      <w:tblStyleRowBandSize w:val="1"/>
      <w:tblStyleColBandSize w:val="1"/>
      <w:tblCellMar>
        <w:left w:w="0.0" w:type="dxa"/>
        <w:right w:w="0.0" w:type="dxa"/>
      </w:tblCellMar>
    </w:tblPr>
  </w:style>
  <w:style w:type="table" w:styleId="a3" w:customStyle="1">
    <w:basedOn w:val="Tablanormal"/>
    <w:tblPr>
      <w:tblStyleRowBandSize w:val="1"/>
      <w:tblStyleColBandSize w:val="1"/>
      <w:tblCellMar>
        <w:left w:w="0.0" w:type="dxa"/>
        <w:right w:w="0.0" w:type="dxa"/>
      </w:tblCellMar>
    </w:tblPr>
  </w:style>
  <w:style w:type="table" w:styleId="a4" w:customStyle="1">
    <w:basedOn w:val="Tablanormal"/>
    <w:tblPr>
      <w:tblStyleRowBandSize w:val="1"/>
      <w:tblStyleColBandSize w:val="1"/>
      <w:tblCellMar>
        <w:left w:w="0.0" w:type="dxa"/>
        <w:right w:w="0.0" w:type="dxa"/>
      </w:tblCellMar>
    </w:tblPr>
  </w:style>
  <w:style w:type="table" w:styleId="a5" w:customStyle="1">
    <w:basedOn w:val="Tablanormal"/>
    <w:tblPr>
      <w:tblStyleRowBandSize w:val="1"/>
      <w:tblStyleColBandSize w:val="1"/>
      <w:tblCellMar>
        <w:left w:w="0.0" w:type="dxa"/>
        <w:right w:w="0.0" w:type="dxa"/>
      </w:tblCellMar>
    </w:tblPr>
  </w:style>
  <w:style w:type="table" w:styleId="a6" w:customStyle="1">
    <w:basedOn w:val="Tablanormal"/>
    <w:tblPr>
      <w:tblStyleRowBandSize w:val="1"/>
      <w:tblStyleColBandSize w:val="1"/>
      <w:tblCellMar>
        <w:left w:w="0.0" w:type="dxa"/>
        <w:right w:w="0.0" w:type="dxa"/>
      </w:tblCellMar>
    </w:tblPr>
  </w:style>
  <w:style w:type="table" w:styleId="a7" w:customStyle="1">
    <w:basedOn w:val="Tablanormal"/>
    <w:tblPr>
      <w:tblStyleRowBandSize w:val="1"/>
      <w:tblStyleColBandSize w:val="1"/>
      <w:tblCellMar>
        <w:left w:w="0.0" w:type="dxa"/>
        <w:right w:w="0.0" w:type="dxa"/>
      </w:tblCellMar>
    </w:tblPr>
  </w:style>
  <w:style w:type="table" w:styleId="a8" w:customStyle="1">
    <w:basedOn w:val="Tablanormal"/>
    <w:tblPr>
      <w:tblStyleRowBandSize w:val="1"/>
      <w:tblStyleColBandSize w:val="1"/>
      <w:tblCellMar>
        <w:left w:w="0.0" w:type="dxa"/>
        <w:right w:w="0.0" w:type="dxa"/>
      </w:tblCellMar>
    </w:tblPr>
  </w:style>
  <w:style w:type="table" w:styleId="a9" w:customStyle="1">
    <w:basedOn w:val="Tablanormal"/>
    <w:tblPr>
      <w:tblStyleRowBandSize w:val="1"/>
      <w:tblStyleColBandSize w:val="1"/>
      <w:tblCellMar>
        <w:left w:w="0.0" w:type="dxa"/>
        <w:right w:w="0.0" w:type="dxa"/>
      </w:tblCellMar>
    </w:tblPr>
  </w:style>
  <w:style w:type="table" w:styleId="aa" w:customStyle="1">
    <w:basedOn w:val="Tablanormal"/>
    <w:tblPr>
      <w:tblStyleRowBandSize w:val="1"/>
      <w:tblStyleColBandSize w:val="1"/>
      <w:tblCellMar>
        <w:left w:w="0.0" w:type="dxa"/>
        <w:right w:w="0.0" w:type="dxa"/>
      </w:tblCellMar>
    </w:tblPr>
  </w:style>
  <w:style w:type="table" w:styleId="ab" w:customStyle="1">
    <w:basedOn w:val="Tablanormal"/>
    <w:tblPr>
      <w:tblStyleRowBandSize w:val="1"/>
      <w:tblStyleColBandSize w:val="1"/>
      <w:tblCellMar>
        <w:left w:w="0.0" w:type="dxa"/>
        <w:right w:w="0.0" w:type="dxa"/>
      </w:tblCellMar>
    </w:tblPr>
  </w:style>
  <w:style w:type="table" w:styleId="ac" w:customStyle="1">
    <w:basedOn w:val="Tablanormal"/>
    <w:tblPr>
      <w:tblStyleRowBandSize w:val="1"/>
      <w:tblStyleColBandSize w:val="1"/>
      <w:tblCellMar>
        <w:left w:w="0.0" w:type="dxa"/>
        <w:right w:w="0.0" w:type="dxa"/>
      </w:tblCellMar>
    </w:tblPr>
  </w:style>
  <w:style w:type="table" w:styleId="ad" w:customStyle="1">
    <w:basedOn w:val="Tablanormal"/>
    <w:tblPr>
      <w:tblStyleRowBandSize w:val="1"/>
      <w:tblStyleColBandSize w:val="1"/>
      <w:tblCellMar>
        <w:left w:w="0.0" w:type="dxa"/>
        <w:right w:w="0.0" w:type="dxa"/>
      </w:tblCellMar>
    </w:tblPr>
  </w:style>
  <w:style w:type="table" w:styleId="ae" w:customStyle="1">
    <w:basedOn w:val="Tablanormal"/>
    <w:tblPr>
      <w:tblStyleRowBandSize w:val="1"/>
      <w:tblStyleColBandSize w:val="1"/>
      <w:tblCellMar>
        <w:left w:w="0.0" w:type="dxa"/>
        <w:right w:w="0.0" w:type="dxa"/>
      </w:tblCellMar>
    </w:tblPr>
  </w:style>
  <w:style w:type="table" w:styleId="af" w:customStyle="1">
    <w:basedOn w:val="Tablanormal"/>
    <w:tblPr>
      <w:tblStyleRowBandSize w:val="1"/>
      <w:tblStyleColBandSize w:val="1"/>
      <w:tblCellMar>
        <w:left w:w="0.0" w:type="dxa"/>
        <w:right w:w="0.0" w:type="dxa"/>
      </w:tblCellMar>
    </w:tblPr>
  </w:style>
  <w:style w:type="table" w:styleId="af0" w:customStyle="1">
    <w:basedOn w:val="Tablanormal"/>
    <w:tblPr>
      <w:tblStyleRowBandSize w:val="1"/>
      <w:tblStyleColBandSize w:val="1"/>
      <w:tblCellMar>
        <w:left w:w="0.0" w:type="dxa"/>
        <w:right w:w="0.0" w:type="dxa"/>
      </w:tblCellMar>
    </w:tblPr>
  </w:style>
  <w:style w:type="table" w:styleId="af1" w:customStyle="1">
    <w:basedOn w:val="TableNormal0"/>
    <w:tblPr>
      <w:tblStyleRowBandSize w:val="1"/>
      <w:tblStyleColBandSize w:val="1"/>
    </w:tblPr>
  </w:style>
  <w:style w:type="table" w:styleId="af2" w:customStyle="1">
    <w:basedOn w:val="TableNormal0"/>
    <w:tblPr>
      <w:tblStyleRowBandSize w:val="1"/>
      <w:tblStyleColBandSize w:val="1"/>
    </w:tblPr>
  </w:style>
  <w:style w:type="table" w:styleId="af3" w:customStyle="1">
    <w:basedOn w:val="TableNormal0"/>
    <w:tblPr>
      <w:tblStyleRowBandSize w:val="1"/>
      <w:tblStyleColBandSize w:val="1"/>
    </w:tblPr>
  </w:style>
  <w:style w:type="table" w:styleId="af4" w:customStyle="1">
    <w:basedOn w:val="TableNormal0"/>
    <w:tblPr>
      <w:tblStyleRowBandSize w:val="1"/>
      <w:tblStyleColBandSize w:val="1"/>
    </w:tblPr>
  </w:style>
  <w:style w:type="table" w:styleId="af5" w:customStyle="1">
    <w:basedOn w:val="TableNormal0"/>
    <w:tblPr>
      <w:tblStyleRowBandSize w:val="1"/>
      <w:tblStyleColBandSize w:val="1"/>
    </w:tblPr>
  </w:style>
  <w:style w:type="table" w:styleId="af6" w:customStyle="1">
    <w:basedOn w:val="TableNormal0"/>
    <w:tblPr>
      <w:tblStyleRowBandSize w:val="1"/>
      <w:tblStyleColBandSize w:val="1"/>
    </w:tblPr>
  </w:style>
  <w:style w:type="table" w:styleId="af7" w:customStyle="1">
    <w:basedOn w:val="TableNormal0"/>
    <w:tblPr>
      <w:tblStyleRowBandSize w:val="1"/>
      <w:tblStyleColBandSize w:val="1"/>
    </w:tblPr>
  </w:style>
  <w:style w:type="table" w:styleId="af8" w:customStyle="1">
    <w:basedOn w:val="TableNormal0"/>
    <w:tblPr>
      <w:tblStyleRowBandSize w:val="1"/>
      <w:tblStyleColBandSize w:val="1"/>
    </w:tblPr>
  </w:style>
  <w:style w:type="table" w:styleId="af9" w:customStyle="1">
    <w:basedOn w:val="TableNormal0"/>
    <w:tblPr>
      <w:tblStyleRowBandSize w:val="1"/>
      <w:tblStyleColBandSize w:val="1"/>
    </w:tblPr>
  </w:style>
  <w:style w:type="table" w:styleId="afa" w:customStyle="1">
    <w:basedOn w:val="TableNormal0"/>
    <w:tblPr>
      <w:tblStyleRowBandSize w:val="1"/>
      <w:tblStyleColBandSize w:val="1"/>
    </w:tblPr>
  </w:style>
  <w:style w:type="table" w:styleId="afb" w:customStyle="1">
    <w:basedOn w:val="TableNormal0"/>
    <w:tblPr>
      <w:tblStyleRowBandSize w:val="1"/>
      <w:tblStyleColBandSize w:val="1"/>
    </w:tblPr>
  </w:style>
  <w:style w:type="table" w:styleId="afc" w:customStyle="1">
    <w:basedOn w:val="TableNormal0"/>
    <w:tblPr>
      <w:tblStyleRowBandSize w:val="1"/>
      <w:tblStyleColBandSize w:val="1"/>
    </w:tblPr>
  </w:style>
  <w:style w:type="table" w:styleId="afd" w:customStyle="1">
    <w:basedOn w:val="TableNormal0"/>
    <w:tblPr>
      <w:tblStyleRowBandSize w:val="1"/>
      <w:tblStyleColBandSize w:val="1"/>
    </w:tblPr>
  </w:style>
  <w:style w:type="table" w:styleId="afe" w:customStyle="1">
    <w:basedOn w:val="TableNormal0"/>
    <w:tblPr>
      <w:tblStyleRowBandSize w:val="1"/>
      <w:tblStyleColBandSize w:val="1"/>
    </w:tblPr>
  </w:style>
  <w:style w:type="table" w:styleId="aff" w:customStyle="1">
    <w:basedOn w:val="TableNormal0"/>
    <w:tblPr>
      <w:tblStyleRowBandSize w:val="1"/>
      <w:tblStyleColBandSize w:val="1"/>
    </w:tblPr>
  </w:style>
  <w:style w:type="table" w:styleId="aff0" w:customStyle="1">
    <w:basedOn w:val="TableNormal0"/>
    <w:tblPr>
      <w:tblStyleRowBandSize w:val="1"/>
      <w:tblStyleColBandSize w:val="1"/>
    </w:tblPr>
  </w:style>
  <w:style w:type="table" w:styleId="aff1" w:customStyle="1">
    <w:basedOn w:val="TableNormal0"/>
    <w:tblPr>
      <w:tblStyleRowBandSize w:val="1"/>
      <w:tblStyleColBandSize w:val="1"/>
    </w:tblPr>
  </w:style>
  <w:style w:type="table" w:styleId="aff2" w:customStyle="1">
    <w:basedOn w:val="TableNormal0"/>
    <w:tblPr>
      <w:tblStyleRowBandSize w:val="1"/>
      <w:tblStyleColBandSize w:val="1"/>
    </w:tblPr>
  </w:style>
  <w:style w:type="paragraph" w:styleId="Textocomentario">
    <w:name w:val="annotation text"/>
    <w:basedOn w:val="Normal"/>
    <w:link w:val="TextocomentarioCar"/>
    <w:uiPriority w:val="99"/>
    <w:semiHidden w:val="1"/>
    <w:unhideWhenUsed w:val="1"/>
    <w:rPr>
      <w:sz w:val="20"/>
      <w:szCs w:val="20"/>
    </w:rPr>
  </w:style>
  <w:style w:type="character" w:styleId="TextocomentarioCar" w:customStyle="1">
    <w:name w:val="Texto comentario Car"/>
    <w:basedOn w:val="Fuentedeprrafopredeter"/>
    <w:link w:val="Textocomentario"/>
    <w:uiPriority w:val="99"/>
    <w:semiHidden w:val="1"/>
    <w:rPr>
      <w:rFonts w:ascii="Arial MT" w:cs="Arial MT" w:eastAsia="Arial MT" w:hAnsi="Arial MT"/>
      <w:sz w:val="20"/>
      <w:szCs w:val="20"/>
    </w:rPr>
  </w:style>
  <w:style w:type="character" w:styleId="Refdecomentario">
    <w:name w:val="annotation reference"/>
    <w:basedOn w:val="Fuentedeprrafopredeter"/>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spreadsheets/d/1ESujooKtngiB9DcPSLsGccR3kKL1HiLkCcnJ9gHmaSU/edit?gid=0#gid=0" TargetMode="External"/><Relationship Id="rId10" Type="http://schemas.openxmlformats.org/officeDocument/2006/relationships/hyperlink" Target="https://drive.google.com/file/d/1YTqRGTB3OG6UevIlyM4F9i56l3Bm4G_B/view?usp=drive_link" TargetMode="External"/><Relationship Id="rId12" Type="http://schemas.openxmlformats.org/officeDocument/2006/relationships/hyperlink" Target="https://drive.google.com/drive/folders/1S6JYGDGgjdHaHbQSEL8tCw-iETxAe7Q-?usp=drive_link" TargetMode="External"/><Relationship Id="rId9" Type="http://schemas.openxmlformats.org/officeDocument/2006/relationships/hyperlink" Target="https://docs.google.com/forms/d/e/1FAIpQLSd-fpp0LIR_KQ5SHkcBL2FcZPWKAQ4KDgFOW_YaN3reV1UeLw/viewform?usp=heade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GQouiOfJgopsNSCnHrCWN2wVdg==">CgMxLjA4AHIhMTZEajZtQUpnQmFhXzFJNENObjRLRm5vVllJd1p4eFY1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2025-04-21T14:34:00Z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Microsoft® Word para Microsoft 365</vt:lpwstr>
  </property>
  <property fmtid="{D5CDD505-2E9C-101B-9397-08002B2CF9AE}" pid="4" name="LastSaved">
    <vt:filetime>2024-12-17T00:00:00Z</vt:filetime>
  </property>
  <property fmtid="{D5CDD505-2E9C-101B-9397-08002B2CF9AE}" pid="5" name="Producer">
    <vt:lpwstr>Microsoft® Word para Microsoft 365</vt:lpwstr>
  </property>
</Properties>
</file>